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b/>
          <w:i/>
          <w:color w:val="auto"/>
          <w:sz w:val="32"/>
        </w:rPr>
      </w:pPr>
    </w:p>
    <w:p>
      <w:pPr>
        <w:rPr>
          <w:b/>
          <w:i/>
          <w:color w:val="auto"/>
          <w:sz w:val="32"/>
        </w:rPr>
      </w:pPr>
    </w:p>
    <w:p>
      <w:pPr>
        <w:rPr>
          <w:b/>
          <w:i/>
          <w:color w:val="auto"/>
          <w:sz w:val="32"/>
        </w:rPr>
      </w:pPr>
    </w:p>
    <w:p>
      <w:pPr>
        <w:rPr>
          <w:b/>
          <w:i/>
          <w:color w:val="auto"/>
          <w:sz w:val="32"/>
        </w:rPr>
      </w:pPr>
    </w:p>
    <w:p>
      <w:pPr>
        <w:rPr>
          <w:b/>
          <w:i/>
          <w:color w:val="auto"/>
          <w:sz w:val="32"/>
        </w:rPr>
      </w:pPr>
    </w:p>
    <w:p>
      <w:pPr>
        <w:rPr>
          <w:b/>
          <w:i/>
          <w:color w:val="auto"/>
          <w:sz w:val="32"/>
        </w:rPr>
      </w:pPr>
    </w:p>
    <w:p>
      <w:pPr>
        <w:pStyle w:val="2"/>
        <w:adjustRightInd/>
        <w:spacing w:line="288" w:lineRule="auto"/>
        <w:rPr>
          <w:rFonts w:hint="default" w:ascii="宋体" w:hAnsi="宋体" w:eastAsia="宋体" w:cs="宋体"/>
          <w:b/>
          <w:bCs w:val="0"/>
          <w:color w:val="auto"/>
          <w:sz w:val="72"/>
          <w:szCs w:val="72"/>
          <w:lang w:val="en-US" w:eastAsia="zh-CN"/>
        </w:rPr>
      </w:pPr>
      <w:bookmarkStart w:id="0" w:name="_Toc4966"/>
      <w:r>
        <w:rPr>
          <w:rFonts w:hint="eastAsia" w:ascii="宋体" w:hAnsi="宋体" w:eastAsia="宋体" w:cs="宋体"/>
          <w:b/>
          <w:bCs w:val="0"/>
          <w:color w:val="auto"/>
          <w:sz w:val="72"/>
          <w:szCs w:val="72"/>
          <w:lang w:val="en-US" w:eastAsia="zh-CN"/>
        </w:rPr>
        <w:t>FK-LSC</w:t>
      </w:r>
      <w:bookmarkStart w:id="109" w:name="_GoBack"/>
      <w:bookmarkEnd w:id="109"/>
      <w:r>
        <w:rPr>
          <w:rFonts w:hint="eastAsia" w:ascii="宋体" w:hAnsi="宋体" w:eastAsia="宋体" w:cs="宋体"/>
          <w:b/>
          <w:bCs w:val="0"/>
          <w:color w:val="auto"/>
          <w:sz w:val="72"/>
          <w:szCs w:val="72"/>
          <w:lang w:val="en-US" w:eastAsia="zh-CN"/>
        </w:rPr>
        <w:t>大容量系列低速离心机</w:t>
      </w:r>
      <w:bookmarkEnd w:id="0"/>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val="0"/>
          <w:color w:val="auto"/>
          <w:sz w:val="48"/>
          <w:szCs w:val="48"/>
        </w:rPr>
      </w:pPr>
      <w: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160020</wp:posOffset>
                </wp:positionV>
                <wp:extent cx="3990340" cy="0"/>
                <wp:effectExtent l="0" t="9525" r="10160" b="9525"/>
                <wp:wrapNone/>
                <wp:docPr id="25" name="直接连接符 14"/>
                <wp:cNvGraphicFramePr/>
                <a:graphic xmlns:a="http://schemas.openxmlformats.org/drawingml/2006/main">
                  <a:graphicData uri="http://schemas.microsoft.com/office/word/2010/wordprocessingShape">
                    <wps:wsp>
                      <wps:cNvCnPr/>
                      <wps:spPr>
                        <a:xfrm>
                          <a:off x="0" y="0"/>
                          <a:ext cx="39903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14" o:spid="_x0000_s1026" o:spt="20" style="position:absolute;left:0pt;margin-left:82.9pt;margin-top:12.6pt;height:0pt;width:314.2pt;z-index:251659264;mso-width-relative:page;mso-height-relative:page;" filled="f" stroked="t" coordsize="21600,21600" o:gfxdata="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TPttNkA&#10;AAAJAQAADwAAAAAAAAABACAAAAAiAAAAZHJzL2Rvd25yZXYueG1sUEsBAhQAFAAAAAgAh07iQMnp&#10;Tt/lAQAAtAMAAA4AAAAAAAAAAQAgAAAAKAEAAGRycy9lMm9Eb2MueG1sUEsFBgAAAAAGAAYAWQEA&#10;AH8FAAAAAA==&#10;">
                <v:fill on="f" focussize="0,0"/>
                <v:stroke weight="1.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val="0"/>
          <w:bCs/>
          <w:color w:val="auto"/>
          <w:sz w:val="72"/>
          <w:szCs w:val="72"/>
          <w:lang w:eastAsia="zh-CN"/>
        </w:rPr>
      </w:pPr>
      <w:bookmarkStart w:id="1" w:name="_Toc25081"/>
      <w:bookmarkStart w:id="2" w:name="_Toc26752"/>
      <w:bookmarkStart w:id="3" w:name="_Toc28656"/>
      <w:r>
        <w:rPr>
          <w:rFonts w:hint="eastAsia" w:ascii="宋体" w:hAnsi="宋体" w:eastAsia="宋体" w:cs="宋体"/>
          <w:b w:val="0"/>
          <w:bCs/>
          <w:color w:val="auto"/>
          <w:sz w:val="72"/>
          <w:szCs w:val="72"/>
          <w:lang w:eastAsia="zh-CN"/>
        </w:rPr>
        <w:t>使用说明书</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val="0"/>
          <w:color w:val="auto"/>
          <w:sz w:val="48"/>
          <w:szCs w:val="48"/>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val="0"/>
          <w:color w:val="auto"/>
          <w:sz w:val="48"/>
          <w:szCs w:val="48"/>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val="0"/>
          <w:color w:val="auto"/>
          <w:sz w:val="48"/>
          <w:szCs w:val="48"/>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val="0"/>
          <w:color w:val="auto"/>
          <w:sz w:val="48"/>
          <w:szCs w:val="48"/>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val="0"/>
          <w:color w:val="auto"/>
          <w:sz w:val="48"/>
          <w:szCs w:val="48"/>
          <w:lang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color w:val="auto"/>
          <w:sz w:val="32"/>
          <w:szCs w:val="32"/>
          <w:lang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headerReference r:id="rId4" w:type="first"/>
          <w:footerReference r:id="rId5" w:type="default"/>
          <w:headerReference r:id="rId3" w:type="even"/>
          <w:pgSz w:w="11906" w:h="16838"/>
          <w:pgMar w:top="1440" w:right="1080" w:bottom="1440" w:left="1080" w:header="851" w:footer="992" w:gutter="0"/>
          <w:pgNumType w:fmt="decimal" w:start="1"/>
          <w:cols w:space="425" w:num="1"/>
          <w:titlePg/>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宋体" w:hAnsi="宋体" w:eastAsia="宋体" w:cs="宋体"/>
          <w:b/>
          <w:bCs/>
          <w:color w:val="000000"/>
          <w:sz w:val="24"/>
          <w:szCs w:val="24"/>
          <w:lang w:val="en-US" w:eastAsia="zh-CN"/>
        </w:rPr>
        <w:sectPr>
          <w:headerReference r:id="rId8" w:type="first"/>
          <w:footerReference r:id="rId11" w:type="first"/>
          <w:headerReference r:id="rId6" w:type="default"/>
          <w:footerReference r:id="rId9" w:type="default"/>
          <w:headerReference r:id="rId7" w:type="even"/>
          <w:footerReference r:id="rId10" w:type="even"/>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bookmarkStart w:id="4" w:name="_Toc24501"/>
      <w:bookmarkStart w:id="5" w:name="_Toc17666"/>
      <w:bookmarkStart w:id="6" w:name="_Toc8822"/>
      <w:bookmarkStart w:id="7" w:name="_Toc28274"/>
      <w:bookmarkStart w:id="8" w:name="_Toc7072"/>
      <w:bookmarkStart w:id="9" w:name="_Toc16217"/>
    </w:p>
    <w:p>
      <w:pPr>
        <w:pStyle w:val="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宋体" w:hAnsi="宋体" w:eastAsia="宋体" w:cs="宋体"/>
          <w:b/>
          <w:bCs/>
          <w:color w:val="000000"/>
          <w:sz w:val="24"/>
          <w:szCs w:val="24"/>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spacing w:after="313" w:afterLines="100" w:line="288" w:lineRule="auto"/>
        <w:ind w:left="0" w:leftChars="0" w:firstLine="0" w:firstLineChars="0"/>
        <w:jc w:val="center"/>
        <w:textAlignment w:val="auto"/>
        <w:outlineLvl w:val="9"/>
        <w:rPr>
          <w:rFonts w:hint="eastAsia" w:asciiTheme="minorEastAsia" w:hAnsiTheme="minorEastAsia" w:eastAsiaTheme="minorEastAsia" w:cstheme="minorEastAsia"/>
          <w:b/>
          <w:bCs/>
          <w:color w:val="000000"/>
          <w:sz w:val="24"/>
          <w:szCs w:val="24"/>
          <w:lang w:val="en-US" w:eastAsia="zh-CN"/>
        </w:rPr>
        <w:sectPr>
          <w:headerReference r:id="rId12" w:type="first"/>
          <w:footerReference r:id="rId15" w:type="first"/>
          <w:footerReference r:id="rId13" w:type="default"/>
          <w:footerReference r:id="rId14" w:type="even"/>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bookmarkStart w:id="10" w:name="_Toc21935"/>
    </w:p>
    <w:sdt>
      <w:sdtPr>
        <w:rPr>
          <w:rFonts w:ascii="宋体" w:hAnsi="宋体" w:eastAsia="宋体" w:cstheme="minorBidi"/>
          <w:kern w:val="2"/>
          <w:sz w:val="21"/>
          <w:szCs w:val="24"/>
          <w:lang w:val="en-US" w:eastAsia="zh-CN" w:bidi="ar-SA"/>
        </w:rPr>
        <w:id w:val="147475005"/>
        <w15:color w:val="DBDBDB"/>
        <w:docPartObj>
          <w:docPartGallery w:val="Table of Contents"/>
          <w:docPartUnique/>
        </w:docPartObj>
      </w:sdtPr>
      <w:sdtEndPr>
        <w:rPr>
          <w:rFonts w:hint="eastAsia" w:asciiTheme="minorEastAsia" w:hAnsiTheme="minorEastAsia" w:eastAsiaTheme="minorEastAsia" w:cstheme="minorEastAsia"/>
          <w:bCs/>
          <w:color w:val="000000"/>
          <w:kern w:val="2"/>
          <w:sz w:val="24"/>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after="313" w:afterLines="100" w:line="288" w:lineRule="auto"/>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目录</w:t>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val="en-US" w:eastAsia="zh-CN"/>
            </w:rPr>
            <w:fldChar w:fldCharType="begin"/>
          </w:r>
          <w:r>
            <w:rPr>
              <w:rFonts w:hint="eastAsia" w:asciiTheme="minorEastAsia" w:hAnsiTheme="minorEastAsia" w:eastAsiaTheme="minorEastAsia" w:cstheme="minorEastAsia"/>
              <w:b/>
              <w:bCs/>
              <w:color w:val="000000"/>
              <w:sz w:val="24"/>
              <w:szCs w:val="24"/>
              <w:lang w:val="en-US" w:eastAsia="zh-CN"/>
            </w:rPr>
            <w:instrText xml:space="preserve">TOC \o "1-1" \h \u </w:instrText>
          </w:r>
          <w:r>
            <w:rPr>
              <w:rFonts w:hint="eastAsia" w:asciiTheme="minorEastAsia" w:hAnsiTheme="minorEastAsia" w:eastAsiaTheme="minorEastAsia" w:cstheme="minorEastAsia"/>
              <w:b/>
              <w:bCs/>
              <w:color w:val="000000"/>
              <w:sz w:val="24"/>
              <w:szCs w:val="24"/>
              <w:lang w:val="en-US" w:eastAsia="zh-CN"/>
            </w:rPr>
            <w:fldChar w:fldCharType="separate"/>
          </w: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_Toc19671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前言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_Toc19671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_Toc26313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一、概述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_Toc26313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_Toc28600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二、结构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_Toc28600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_Toc21142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三、产品特点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_Toc21142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_Toc8049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四、产品参数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_Toc8049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_Toc19760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五、设备安装</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_Toc19760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_Toc26868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六、设备使用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_Toc26868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_Toc16596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七、维护保养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_Toc16596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_Toc10522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八、故障分析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_Toc10522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_Toc3140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九、保修声明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_Toc3014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十、开箱检查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_Toc3014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_Toc23407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十一、装箱清单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_Toc23407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lang w:val="en-US" w:eastAsia="zh-CN"/>
            </w:rPr>
            <w:fldChar w:fldCharType="begin"/>
          </w:r>
          <w:r>
            <w:rPr>
              <w:rFonts w:hint="eastAsia" w:asciiTheme="minorEastAsia" w:hAnsiTheme="minorEastAsia" w:eastAsiaTheme="minorEastAsia" w:cstheme="minorEastAsia"/>
              <w:bCs/>
              <w:sz w:val="24"/>
              <w:szCs w:val="24"/>
              <w:lang w:val="en-US" w:eastAsia="zh-CN"/>
            </w:rPr>
            <w:instrText xml:space="preserve"> HYPERLINK \l _Toc26200 </w:instrText>
          </w:r>
          <w:r>
            <w:rPr>
              <w:rFonts w:hint="eastAsia" w:asciiTheme="minorEastAsia" w:hAnsiTheme="minorEastAsia" w:eastAsiaTheme="minorEastAsia" w:cstheme="minorEastAsia"/>
              <w:bCs/>
              <w:sz w:val="24"/>
              <w:szCs w:val="24"/>
              <w:lang w:val="en-US" w:eastAsia="zh-CN"/>
            </w:rPr>
            <w:fldChar w:fldCharType="separate"/>
          </w:r>
          <w:r>
            <w:rPr>
              <w:rFonts w:hint="eastAsia" w:asciiTheme="minorEastAsia" w:hAnsiTheme="minorEastAsia" w:eastAsiaTheme="minorEastAsia" w:cstheme="minorEastAsia"/>
              <w:bCs/>
              <w:sz w:val="24"/>
              <w:szCs w:val="24"/>
              <w:lang w:val="en-US" w:eastAsia="zh-CN"/>
            </w:rPr>
            <w:t>十二、附录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000000"/>
              <w:sz w:val="24"/>
              <w:szCs w:val="24"/>
              <w:lang w:val="en-US" w:eastAsia="zh-CN"/>
            </w:rPr>
            <w:fldChar w:fldCharType="end"/>
          </w:r>
        </w:p>
        <w:p>
          <w:pPr>
            <w:pStyle w:val="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Theme="minorEastAsia" w:hAnsiTheme="minorEastAsia" w:eastAsiaTheme="minorEastAsia" w:cstheme="minorEastAsia"/>
              <w:b/>
              <w:bCs/>
              <w:color w:val="000000"/>
              <w:sz w:val="24"/>
              <w:szCs w:val="24"/>
              <w:lang w:val="en-US" w:eastAsia="zh-CN"/>
            </w:rPr>
            <w:sectPr>
              <w:headerReference r:id="rId16" w:type="first"/>
              <w:footerReference r:id="rId19" w:type="first"/>
              <w:footerReference r:id="rId17" w:type="default"/>
              <w:footerReference r:id="rId18" w:type="even"/>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r>
            <w:rPr>
              <w:rFonts w:hint="eastAsia" w:asciiTheme="minorEastAsia" w:hAnsiTheme="minorEastAsia" w:eastAsiaTheme="minorEastAsia" w:cstheme="minorEastAsia"/>
              <w:bCs/>
              <w:color w:val="000000"/>
              <w:sz w:val="24"/>
              <w:szCs w:val="24"/>
              <w:lang w:val="en-US" w:eastAsia="zh-CN"/>
            </w:rPr>
            <w:fldChar w:fldCharType="end"/>
          </w:r>
        </w:p>
      </w:sdtContent>
    </w:sdt>
    <w:p>
      <w:pPr>
        <w:pStyle w:val="5"/>
        <w:keepNext w:val="0"/>
        <w:keepLines w:val="0"/>
        <w:pageBreakBefore w:val="0"/>
        <w:widowControl w:val="0"/>
        <w:kinsoku/>
        <w:wordWrap/>
        <w:overflowPunct/>
        <w:topLinePunct w:val="0"/>
        <w:autoSpaceDE/>
        <w:autoSpaceDN/>
        <w:bidi w:val="0"/>
        <w:adjustRightInd/>
        <w:snapToGrid/>
        <w:spacing w:after="313" w:afterLines="100" w:line="288" w:lineRule="auto"/>
        <w:ind w:left="0" w:leftChars="0" w:firstLine="0" w:firstLineChars="0"/>
        <w:jc w:val="center"/>
        <w:textAlignment w:val="auto"/>
        <w:outlineLvl w:val="0"/>
        <w:rPr>
          <w:rFonts w:hint="eastAsia" w:asciiTheme="minorEastAsia" w:hAnsiTheme="minorEastAsia" w:eastAsiaTheme="minorEastAsia" w:cstheme="minorEastAsia"/>
          <w:b/>
          <w:bCs/>
          <w:color w:val="000000"/>
          <w:sz w:val="24"/>
          <w:szCs w:val="24"/>
          <w:lang w:val="en-US" w:eastAsia="zh-CN"/>
        </w:rPr>
      </w:pPr>
      <w:bookmarkStart w:id="11" w:name="_Toc19671"/>
      <w:r>
        <w:rPr>
          <w:rFonts w:hint="eastAsia" w:asciiTheme="minorEastAsia" w:hAnsiTheme="minorEastAsia" w:eastAsiaTheme="minorEastAsia" w:cstheme="minorEastAsia"/>
          <w:b/>
          <w:bCs/>
          <w:color w:val="000000"/>
          <w:sz w:val="24"/>
          <w:szCs w:val="24"/>
          <w:lang w:val="en-US" w:eastAsia="zh-CN"/>
        </w:rPr>
        <w:t>前言</w:t>
      </w:r>
      <w:bookmarkEnd w:id="4"/>
      <w:bookmarkEnd w:id="5"/>
      <w:bookmarkEnd w:id="6"/>
      <w:bookmarkEnd w:id="7"/>
      <w:bookmarkEnd w:id="8"/>
      <w:bookmarkEnd w:id="9"/>
      <w:bookmarkEnd w:id="10"/>
      <w:bookmarkEnd w:id="11"/>
    </w:p>
    <w:p>
      <w:pPr>
        <w:pStyle w:val="5"/>
        <w:keepNext w:val="0"/>
        <w:keepLines w:val="0"/>
        <w:pageBreakBefore w:val="0"/>
        <w:widowControl w:val="0"/>
        <w:kinsoku/>
        <w:wordWrap/>
        <w:overflowPunct/>
        <w:topLinePunct w:val="0"/>
        <w:autoSpaceDE/>
        <w:autoSpaceDN/>
        <w:bidi w:val="0"/>
        <w:adjustRightInd/>
        <w:snapToGrid/>
        <w:spacing w:line="288" w:lineRule="auto"/>
        <w:ind w:left="0" w:firstLine="482" w:firstLineChars="200"/>
        <w:textAlignment w:val="auto"/>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感谢您选择LSC大容量系列低速离心机，为获得更好的使用体验，请认真阅读本使用说明书，并遵守安全操作规范！</w:t>
      </w:r>
    </w:p>
    <w:p>
      <w:pPr>
        <w:pStyle w:val="5"/>
        <w:keepNext w:val="0"/>
        <w:keepLines w:val="0"/>
        <w:pageBreakBefore w:val="0"/>
        <w:widowControl w:val="0"/>
        <w:kinsoku/>
        <w:wordWrap/>
        <w:overflowPunct/>
        <w:topLinePunct w:val="0"/>
        <w:autoSpaceDE/>
        <w:autoSpaceDN/>
        <w:bidi w:val="0"/>
        <w:adjustRightInd/>
        <w:snapToGrid/>
        <w:spacing w:line="288" w:lineRule="auto"/>
        <w:ind w:left="0" w:firstLine="482" w:firstLineChars="200"/>
        <w:textAlignment w:val="auto"/>
        <w:outlineLvl w:val="0"/>
        <w:rPr>
          <w:rFonts w:hint="eastAsia" w:asciiTheme="minorEastAsia" w:hAnsiTheme="minorEastAsia" w:eastAsiaTheme="minorEastAsia" w:cstheme="minorEastAsia"/>
          <w:b/>
          <w:color w:val="000000"/>
          <w:sz w:val="24"/>
          <w:szCs w:val="24"/>
          <w:lang w:val="en-US" w:eastAsia="zh-CN"/>
        </w:rPr>
      </w:pPr>
      <w:bookmarkStart w:id="12" w:name="_Toc3135"/>
      <w:bookmarkStart w:id="13" w:name="_Toc29520"/>
      <w:bookmarkStart w:id="14" w:name="_Toc26192"/>
      <w:r>
        <w:rPr>
          <w:rFonts w:hint="eastAsia" w:asciiTheme="minorEastAsia" w:hAnsiTheme="minorEastAsia" w:eastAsiaTheme="minorEastAsia" w:cstheme="minorEastAsia"/>
          <w:b/>
          <w:color w:val="000000"/>
          <w:sz w:val="24"/>
          <w:szCs w:val="24"/>
          <w:lang w:val="en-US" w:eastAsia="zh-CN"/>
        </w:rPr>
        <w:t>请妥善保管本使用说明书以便需要时查阅！</w:t>
      </w:r>
      <w:bookmarkEnd w:id="12"/>
      <w:bookmarkEnd w:id="13"/>
      <w:bookmarkEnd w:id="14"/>
    </w:p>
    <w:p>
      <w:pPr>
        <w:pStyle w:val="5"/>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注意事项：</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
          <w:bCs/>
          <w:sz w:val="24"/>
          <w:szCs w:val="24"/>
          <w:lang w:val="en-US" w:eastAsia="zh-CN"/>
        </w:rPr>
      </w:pPr>
      <w:bookmarkStart w:id="15" w:name="_Toc3148"/>
      <w:bookmarkStart w:id="16" w:name="_Toc15972"/>
      <w:bookmarkStart w:id="17" w:name="_Toc29158"/>
      <w:bookmarkStart w:id="18" w:name="_Toc75"/>
      <w:bookmarkStart w:id="19" w:name="_Toc25163"/>
      <w:bookmarkStart w:id="20" w:name="_Toc1851"/>
      <w:r>
        <w:rPr>
          <w:rFonts w:hint="eastAsia" w:asciiTheme="minorEastAsia" w:hAnsiTheme="minorEastAsia" w:eastAsiaTheme="minorEastAsia" w:cstheme="minorEastAsia"/>
          <w:sz w:val="24"/>
          <w:szCs w:val="24"/>
          <w:lang w:val="en-US" w:eastAsia="zh-CN"/>
        </w:rPr>
        <w:drawing>
          <wp:inline distT="0" distB="0" distL="114300" distR="114300">
            <wp:extent cx="281305" cy="243205"/>
            <wp:effectExtent l="0" t="0" r="4445" b="4445"/>
            <wp:docPr id="22"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timg"/>
                    <pic:cNvPicPr>
                      <a:picLocks noChangeAspect="1"/>
                    </pic:cNvPicPr>
                  </pic:nvPicPr>
                  <pic:blipFill>
                    <a:blip r:embed="rId34"/>
                    <a:stretch>
                      <a:fillRect/>
                    </a:stretch>
                  </pic:blipFill>
                  <pic:spPr>
                    <a:xfrm>
                      <a:off x="0" y="0"/>
                      <a:ext cx="281305" cy="243205"/>
                    </a:xfrm>
                    <a:prstGeom prst="rect">
                      <a:avLst/>
                    </a:prstGeom>
                    <a:noFill/>
                    <a:ln>
                      <a:noFill/>
                    </a:ln>
                  </pic:spPr>
                </pic:pic>
              </a:graphicData>
            </a:graphic>
          </wp:inline>
        </w:drawing>
      </w:r>
      <w:r>
        <w:rPr>
          <w:rFonts w:hint="eastAsia" w:asciiTheme="minorEastAsia" w:hAnsiTheme="minorEastAsia" w:eastAsiaTheme="minorEastAsia" w:cstheme="minorEastAsia"/>
          <w:b/>
          <w:bCs/>
          <w:sz w:val="24"/>
          <w:szCs w:val="24"/>
          <w:lang w:val="en-US" w:eastAsia="zh-CN"/>
        </w:rPr>
        <w:t>危险！</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请遵守安全规范、人身安全和事故防止等相关规范。</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请将电源插头完全地插入电源插座中，</w:t>
      </w:r>
      <w:r>
        <w:rPr>
          <w:rFonts w:hint="eastAsia" w:asciiTheme="minorEastAsia" w:hAnsiTheme="minorEastAsia" w:eastAsiaTheme="minorEastAsia" w:cstheme="minorEastAsia"/>
          <w:color w:val="000000" w:themeColor="text1"/>
          <w:sz w:val="24"/>
          <w:szCs w:val="24"/>
          <w14:textFill>
            <w14:solidFill>
              <w14:schemeClr w14:val="tx1"/>
            </w14:solidFill>
          </w14:textFill>
        </w:rPr>
        <w:t>仪器须有可靠接地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请不要使用指定以外的电源。</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切勿用湿手去插拔电源插头，</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使用完毕后，请切断电源、清洁仪器。</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处理有毒、易挥发介质时，请采取适当的防护措施。</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其他单位的转子请勿混用，以防对仪器和人身安全造成伤害</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运转过程中不得移动离心机，严禁将门盖打开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在电机及转子未完全停止的情况下不得打开门盖。</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281305" cy="243205"/>
            <wp:effectExtent l="0" t="0" r="4445" b="4445"/>
            <wp:docPr id="29"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timg"/>
                    <pic:cNvPicPr>
                      <a:picLocks noChangeAspect="1"/>
                    </pic:cNvPicPr>
                  </pic:nvPicPr>
                  <pic:blipFill>
                    <a:blip r:embed="rId34"/>
                    <a:stretch>
                      <a:fillRect/>
                    </a:stretch>
                  </pic:blipFill>
                  <pic:spPr>
                    <a:xfrm>
                      <a:off x="0" y="0"/>
                      <a:ext cx="281305" cy="243205"/>
                    </a:xfrm>
                    <a:prstGeom prst="rect">
                      <a:avLst/>
                    </a:prstGeom>
                    <a:noFill/>
                    <a:ln>
                      <a:noFill/>
                    </a:ln>
                  </pic:spPr>
                </pic:pic>
              </a:graphicData>
            </a:graphic>
          </wp:inline>
        </w:drawing>
      </w:r>
      <w:r>
        <w:rPr>
          <w:rFonts w:hint="eastAsia" w:asciiTheme="minorEastAsia" w:hAnsiTheme="minorEastAsia" w:eastAsiaTheme="minorEastAsia" w:cstheme="minorEastAsia"/>
          <w:b/>
          <w:bCs/>
          <w:sz w:val="24"/>
          <w:szCs w:val="24"/>
          <w:lang w:val="en-US" w:eastAsia="zh-CN"/>
        </w:rPr>
        <w:t>警告！</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取出转子时必须使用本机所配的专用提手，或用非金属工具（如起子柄）轻轻敲击转子体，反复进行直至震松转子体与电机轴之间的连接。严禁松开螺钉后就直接用手硬向上拉拔，以免损坏</w:t>
      </w:r>
      <w:r>
        <w:rPr>
          <w:rFonts w:hint="eastAsia" w:asciiTheme="minorEastAsia" w:hAnsiTheme="minorEastAsia" w:eastAsiaTheme="minorEastAsia" w:cstheme="minorEastAsia"/>
          <w:color w:val="auto"/>
          <w:sz w:val="24"/>
          <w:szCs w:val="24"/>
        </w:rPr>
        <w:t>电机的柔性</w:t>
      </w:r>
      <w:r>
        <w:rPr>
          <w:rFonts w:hint="eastAsia" w:asciiTheme="minorEastAsia" w:hAnsiTheme="minorEastAsia" w:eastAsiaTheme="minorEastAsia" w:cstheme="minorEastAsia"/>
          <w:color w:val="auto"/>
          <w:sz w:val="24"/>
          <w:szCs w:val="24"/>
          <w:lang w:val="en-US" w:eastAsia="zh-CN"/>
        </w:rPr>
        <w:t>支撑</w:t>
      </w:r>
      <w:r>
        <w:rPr>
          <w:rFonts w:hint="eastAsia" w:asciiTheme="minorEastAsia" w:hAnsiTheme="minorEastAsia" w:eastAsiaTheme="minorEastAsia" w:cstheme="minorEastAsia"/>
          <w:color w:val="auto"/>
          <w:sz w:val="24"/>
          <w:szCs w:val="24"/>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使用前检查转子及离心管是否有裂纹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腐蚀痕迹及老化等现象，如有必须立即更换，严禁使用产生裂纹或被腐蚀的转子。</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为确保安全和离心效果，仪器必须放置在坚固、防震、水平的台面上，并确保四只机脚均衡受力。</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离心机使用前，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sz w:val="24"/>
          <w:szCs w:val="24"/>
          <w14:textFill>
            <w14:solidFill>
              <w14:schemeClr w14:val="tx1"/>
            </w14:solidFill>
          </w14:textFill>
        </w:rPr>
        <w:t>将离心室腔内的异物取出；检查转子体是否正确安装在转子座上，确保连接良好，连接转子与电机轴的螺钉必须</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拧紧</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严禁无转子高速运转。</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严禁转子不平衡使用，离心管必须对称放置，不可单数管运行</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管内溶液必须均匀一致以确保平衡运行。</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仪器或转子停用三个月后，必须在低转速下运行10min，才允许按转子的最高转速运行。</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请勿在仪器上放置装有液体的容器，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以防</w:t>
      </w:r>
      <w:r>
        <w:rPr>
          <w:rFonts w:hint="eastAsia" w:asciiTheme="minorEastAsia" w:hAnsiTheme="minorEastAsia" w:eastAsiaTheme="minorEastAsia" w:cstheme="minorEastAsia"/>
          <w:color w:val="000000" w:themeColor="text1"/>
          <w:sz w:val="24"/>
          <w:szCs w:val="24"/>
          <w14:textFill>
            <w14:solidFill>
              <w14:schemeClr w14:val="tx1"/>
            </w14:solidFill>
          </w14:textFill>
        </w:rPr>
        <w:t>容器打翻，液体进入离心机并锈蚀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损</w:t>
      </w:r>
      <w:r>
        <w:rPr>
          <w:rFonts w:hint="eastAsia" w:asciiTheme="minorEastAsia" w:hAnsiTheme="minorEastAsia" w:eastAsiaTheme="minorEastAsia" w:cstheme="minorEastAsia"/>
          <w:color w:val="000000" w:themeColor="text1"/>
          <w:sz w:val="24"/>
          <w:szCs w:val="24"/>
          <w14:textFill>
            <w14:solidFill>
              <w14:schemeClr w14:val="tx1"/>
            </w14:solidFill>
          </w14:textFill>
        </w:rPr>
        <w:t>伤其机械部件或电</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器</w:t>
      </w:r>
      <w:r>
        <w:rPr>
          <w:rFonts w:hint="eastAsia" w:asciiTheme="minorEastAsia" w:hAnsiTheme="minorEastAsia" w:eastAsiaTheme="minorEastAsia" w:cstheme="minorEastAsia"/>
          <w:color w:val="000000" w:themeColor="text1"/>
          <w:sz w:val="24"/>
          <w:szCs w:val="24"/>
          <w14:textFill>
            <w14:solidFill>
              <w14:schemeClr w14:val="tx1"/>
            </w14:solidFill>
          </w14:textFill>
        </w:rPr>
        <w:t>部件。</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离心</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结束后，应及时将仪器擦拭干净，同时关闭仪器的电源开关</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拔掉电源插头。</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不得随意拆卸和调整仪器的零部件，</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备件损坏时</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请仅使用原装备件进行更换。</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如果您在使用过程中，发现</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仪器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有异味或有异常噪音时，应立即切断电源，然后</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在第一时间</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联系</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我司</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售后服务部。</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设备发生故障时，应及时切断电源，</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并在第一时间联系</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我司进行维修指导或返厂检修</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b w:val="0"/>
          <w:bCs w:val="0"/>
          <w:color w:val="auto"/>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lang w:val="en-US" w:eastAsia="zh-CN"/>
        </w:rPr>
        <w:sectPr>
          <w:headerReference r:id="rId20" w:type="first"/>
          <w:footerReference r:id="rId23" w:type="first"/>
          <w:footerReference r:id="rId21" w:type="default"/>
          <w:footerReference r:id="rId22" w:type="even"/>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outlineLvl w:val="9"/>
        <w:rPr>
          <w:rFonts w:hint="eastAsia" w:ascii="宋体" w:hAnsi="宋体" w:eastAsia="宋体" w:cs="宋体"/>
          <w:b/>
          <w:bCs/>
          <w:sz w:val="24"/>
          <w:szCs w:val="24"/>
          <w:lang w:val="en-US" w:eastAsia="zh-CN"/>
        </w:rPr>
        <w:sectPr>
          <w:footerReference r:id="rId26" w:type="first"/>
          <w:footerReference r:id="rId24" w:type="default"/>
          <w:footerReference r:id="rId25" w:type="even"/>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outlineLvl w:val="0"/>
        <w:rPr>
          <w:rFonts w:hint="eastAsia" w:ascii="宋体" w:hAnsi="宋体" w:eastAsia="宋体" w:cs="宋体"/>
          <w:b/>
          <w:bCs/>
          <w:sz w:val="24"/>
          <w:szCs w:val="24"/>
          <w:lang w:val="en-US" w:eastAsia="zh-CN"/>
        </w:rPr>
      </w:pPr>
      <w:bookmarkStart w:id="21" w:name="_Toc29809"/>
      <w:bookmarkStart w:id="22" w:name="_Toc26313"/>
      <w:r>
        <w:rPr>
          <w:rFonts w:hint="eastAsia" w:ascii="宋体" w:hAnsi="宋体" w:eastAsia="宋体" w:cs="宋体"/>
          <w:b/>
          <w:bCs/>
          <w:sz w:val="24"/>
          <w:szCs w:val="24"/>
          <w:lang w:val="en-US" w:eastAsia="zh-CN"/>
        </w:rPr>
        <w:t>一、概述</w:t>
      </w:r>
      <w:bookmarkEnd w:id="15"/>
      <w:bookmarkEnd w:id="16"/>
      <w:bookmarkEnd w:id="17"/>
      <w:bookmarkEnd w:id="18"/>
      <w:bookmarkEnd w:id="19"/>
      <w:bookmarkEnd w:id="20"/>
      <w:bookmarkEnd w:id="21"/>
      <w:bookmarkEnd w:id="22"/>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bookmarkStart w:id="23" w:name="_Toc18716"/>
      <w:bookmarkStart w:id="24" w:name="_Toc19254"/>
      <w:bookmarkStart w:id="25" w:name="_Toc23272"/>
      <w:bookmarkStart w:id="26" w:name="_Toc23410"/>
      <w:bookmarkStart w:id="27" w:name="_Toc5764"/>
      <w:bookmarkStart w:id="28" w:name="_Toc31770"/>
      <w:bookmarkStart w:id="29" w:name="_Toc31230"/>
      <w:r>
        <w:rPr>
          <w:rFonts w:hint="eastAsia" w:asciiTheme="minorEastAsia" w:hAnsiTheme="minorEastAsia" w:eastAsiaTheme="minorEastAsia" w:cstheme="minorEastAsia"/>
          <w:i w:val="0"/>
          <w:iCs w:val="0"/>
          <w:caps w:val="0"/>
          <w:color w:val="auto"/>
          <w:spacing w:val="0"/>
          <w:sz w:val="24"/>
          <w:szCs w:val="24"/>
          <w:shd w:val="clear" w:fill="FFFFFF"/>
        </w:rPr>
        <w:t>低速</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大容量</w:t>
      </w:r>
      <w:r>
        <w:rPr>
          <w:rFonts w:hint="eastAsia" w:asciiTheme="minorEastAsia" w:hAnsiTheme="minorEastAsia" w:eastAsiaTheme="minorEastAsia" w:cstheme="minorEastAsia"/>
          <w:i w:val="0"/>
          <w:iCs w:val="0"/>
          <w:caps w:val="0"/>
          <w:color w:val="auto"/>
          <w:spacing w:val="0"/>
          <w:sz w:val="24"/>
          <w:szCs w:val="24"/>
          <w:shd w:val="clear" w:fill="FFFFFF"/>
        </w:rPr>
        <w:t>离心机</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是利用离心力分离液体与固体颗粒或液体与液体的混合物中各组分的仪器。</w:t>
      </w:r>
      <w:r>
        <w:rPr>
          <w:rFonts w:hint="eastAsia" w:asciiTheme="minorEastAsia" w:hAnsiTheme="minorEastAsia" w:eastAsiaTheme="minorEastAsia" w:cstheme="minorEastAsia"/>
          <w:i w:val="0"/>
          <w:iCs w:val="0"/>
          <w:caps w:val="0"/>
          <w:color w:val="auto"/>
          <w:spacing w:val="0"/>
          <w:sz w:val="24"/>
          <w:szCs w:val="24"/>
          <w:shd w:val="clear" w:fill="FFFFFF"/>
        </w:rPr>
        <w:t>本机采用直流电机</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单片机控制，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具有</w:t>
      </w:r>
      <w:r>
        <w:rPr>
          <w:rFonts w:hint="eastAsia" w:asciiTheme="minorEastAsia" w:hAnsiTheme="minorEastAsia" w:eastAsiaTheme="minorEastAsia" w:cstheme="minorEastAsia"/>
          <w:i w:val="0"/>
          <w:iCs w:val="0"/>
          <w:caps w:val="0"/>
          <w:color w:val="auto"/>
          <w:spacing w:val="0"/>
          <w:sz w:val="24"/>
          <w:szCs w:val="24"/>
          <w:shd w:val="clear" w:fill="FFFFFF"/>
        </w:rPr>
        <w:t>可预</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设</w:t>
      </w:r>
      <w:r>
        <w:rPr>
          <w:rFonts w:hint="eastAsia" w:asciiTheme="minorEastAsia" w:hAnsiTheme="minorEastAsia" w:eastAsiaTheme="minorEastAsia" w:cstheme="minorEastAsia"/>
          <w:i w:val="0"/>
          <w:iCs w:val="0"/>
          <w:caps w:val="0"/>
          <w:color w:val="auto"/>
          <w:spacing w:val="0"/>
          <w:sz w:val="24"/>
          <w:szCs w:val="24"/>
          <w:shd w:val="clear" w:fill="FFFFFF"/>
        </w:rPr>
        <w:t>转速</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和</w:t>
      </w:r>
      <w:r>
        <w:rPr>
          <w:rFonts w:hint="eastAsia" w:asciiTheme="minorEastAsia" w:hAnsiTheme="minorEastAsia" w:eastAsiaTheme="minorEastAsia" w:cstheme="minorEastAsia"/>
          <w:i w:val="0"/>
          <w:iCs w:val="0"/>
          <w:caps w:val="0"/>
          <w:color w:val="auto"/>
          <w:spacing w:val="0"/>
          <w:sz w:val="24"/>
          <w:szCs w:val="24"/>
          <w:shd w:val="clear" w:fill="FFFFFF"/>
        </w:rPr>
        <w:t>时间、定时及开盖停机</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等</w:t>
      </w:r>
      <w:r>
        <w:rPr>
          <w:rFonts w:hint="eastAsia" w:asciiTheme="minorEastAsia" w:hAnsiTheme="minorEastAsia" w:eastAsiaTheme="minorEastAsia" w:cstheme="minorEastAsia"/>
          <w:i w:val="0"/>
          <w:iCs w:val="0"/>
          <w:caps w:val="0"/>
          <w:color w:val="auto"/>
          <w:spacing w:val="0"/>
          <w:sz w:val="24"/>
          <w:szCs w:val="24"/>
          <w:shd w:val="clear" w:fill="FFFFFF"/>
        </w:rPr>
        <w:t>多种</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功能</w:t>
      </w:r>
      <w:r>
        <w:rPr>
          <w:rFonts w:hint="eastAsia" w:asciiTheme="minorEastAsia" w:hAnsiTheme="minorEastAsia" w:eastAsiaTheme="minorEastAsia" w:cstheme="minorEastAsia"/>
          <w:i w:val="0"/>
          <w:iCs w:val="0"/>
          <w:caps w:val="0"/>
          <w:color w:val="auto"/>
          <w:spacing w:val="0"/>
          <w:sz w:val="24"/>
          <w:szCs w:val="24"/>
          <w:shd w:val="clear" w:fill="FFFFFF"/>
        </w:rPr>
        <w:t>，性能稳定，容量大、运行时噪音低且离心腔内温升较小。广泛适用于大中院校、石油、化工、医药、环保等</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领域</w:t>
      </w:r>
      <w:r>
        <w:rPr>
          <w:rFonts w:hint="eastAsia" w:asciiTheme="minorEastAsia" w:hAnsiTheme="minorEastAsia" w:eastAsiaTheme="minorEastAsia" w:cstheme="minorEastAsia"/>
          <w:color w:val="auto"/>
          <w:kern w:val="0"/>
          <w:sz w:val="24"/>
          <w:szCs w:val="24"/>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30" w:name="_Toc28600"/>
      <w:r>
        <w:rPr>
          <w:rFonts w:hint="eastAsia" w:ascii="宋体" w:hAnsi="宋体" w:eastAsia="宋体" w:cs="宋体"/>
          <w:b/>
          <w:bCs/>
          <w:sz w:val="24"/>
          <w:szCs w:val="24"/>
          <w:lang w:val="en-US" w:eastAsia="zh-CN"/>
        </w:rPr>
        <w:t>二、结构</w:t>
      </w:r>
      <w:bookmarkEnd w:id="23"/>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lang w:val="en-US" w:eastAsia="zh-CN"/>
        </w:rPr>
      </w:pPr>
      <w:r>
        <w:rPr>
          <w:rFonts w:hint="eastAsia"/>
          <w:lang w:val="en-US" w:eastAsia="zh-CN"/>
        </w:rPr>
        <w:drawing>
          <wp:inline distT="0" distB="0" distL="114300" distR="114300">
            <wp:extent cx="2965450" cy="1819910"/>
            <wp:effectExtent l="0" t="0" r="6350" b="8890"/>
            <wp:docPr id="34" name="图片 3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2"/>
                    <pic:cNvPicPr>
                      <a:picLocks noChangeAspect="1"/>
                    </pic:cNvPicPr>
                  </pic:nvPicPr>
                  <pic:blipFill>
                    <a:blip r:embed="rId35"/>
                    <a:stretch>
                      <a:fillRect/>
                    </a:stretch>
                  </pic:blipFill>
                  <pic:spPr>
                    <a:xfrm>
                      <a:off x="0" y="0"/>
                      <a:ext cx="2965450" cy="1819910"/>
                    </a:xfrm>
                    <a:prstGeom prst="rect">
                      <a:avLst/>
                    </a:prstGeom>
                  </pic:spPr>
                </pic:pic>
              </a:graphicData>
            </a:graphic>
          </wp:inline>
        </w:drawing>
      </w:r>
      <w:r>
        <w:rPr>
          <w:rFonts w:hint="eastAsia"/>
          <w:lang w:val="en-US" w:eastAsia="zh-CN"/>
        </w:rPr>
        <w:drawing>
          <wp:inline distT="0" distB="0" distL="114300" distR="114300">
            <wp:extent cx="2682240" cy="1734185"/>
            <wp:effectExtent l="0" t="0" r="3810" b="18415"/>
            <wp:docPr id="33" name="图片 3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3"/>
                    <pic:cNvPicPr>
                      <a:picLocks noChangeAspect="1"/>
                    </pic:cNvPicPr>
                  </pic:nvPicPr>
                  <pic:blipFill>
                    <a:blip r:embed="rId36"/>
                    <a:stretch>
                      <a:fillRect/>
                    </a:stretch>
                  </pic:blipFill>
                  <pic:spPr>
                    <a:xfrm>
                      <a:off x="0" y="0"/>
                      <a:ext cx="2682240" cy="1734185"/>
                    </a:xfrm>
                    <a:prstGeom prst="rect">
                      <a:avLst/>
                    </a:prstGeom>
                  </pic:spPr>
                </pic:pic>
              </a:graphicData>
            </a:graphic>
          </wp:inline>
        </w:drawing>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门盖</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2、观察孔</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3、控制面板</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4、防滑脚垫</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default"/>
          <w:lang w:val="en-US" w:eastAsia="zh-CN"/>
        </w:rPr>
      </w:pPr>
      <w:r>
        <w:rPr>
          <w:rFonts w:hint="eastAsia" w:asciiTheme="minorEastAsia" w:hAnsiTheme="minorEastAsia" w:eastAsiaTheme="minorEastAsia" w:cstheme="minorEastAsia"/>
          <w:sz w:val="24"/>
          <w:szCs w:val="24"/>
          <w:lang w:val="en-US" w:eastAsia="zh-CN"/>
        </w:rPr>
        <w:t>5、手动门盖锁</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6、电源接口</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7、电源开</w:t>
      </w:r>
      <w:r>
        <w:rPr>
          <w:rFonts w:hint="eastAsia"/>
          <w:lang w:val="en-US" w:eastAsia="zh-CN"/>
        </w:rPr>
        <w:t>关</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31" w:name="_Toc15854"/>
      <w:bookmarkStart w:id="32" w:name="_Toc7010"/>
      <w:bookmarkStart w:id="33" w:name="_Toc21585"/>
      <w:bookmarkStart w:id="34" w:name="_Toc11797"/>
      <w:bookmarkStart w:id="35" w:name="_Toc8649"/>
      <w:bookmarkStart w:id="36" w:name="_Toc21142"/>
      <w:bookmarkStart w:id="37" w:name="_Toc9492"/>
      <w:bookmarkStart w:id="38" w:name="_Toc23015"/>
      <w:r>
        <w:rPr>
          <w:rFonts w:hint="eastAsia" w:ascii="宋体" w:hAnsi="宋体" w:eastAsia="宋体" w:cs="宋体"/>
          <w:b/>
          <w:bCs/>
          <w:sz w:val="24"/>
          <w:szCs w:val="24"/>
          <w:lang w:val="en-US" w:eastAsia="zh-CN"/>
        </w:rPr>
        <w:t>三、产品特点</w:t>
      </w:r>
      <w:bookmarkEnd w:id="31"/>
      <w:bookmarkEnd w:id="32"/>
      <w:bookmarkEnd w:id="33"/>
      <w:bookmarkEnd w:id="34"/>
      <w:bookmarkEnd w:id="35"/>
      <w:bookmarkEnd w:id="36"/>
      <w:bookmarkEnd w:id="37"/>
      <w:bookmarkEnd w:id="38"/>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sz w:val="24"/>
          <w:szCs w:val="24"/>
          <w:lang w:val="en-US" w:eastAsia="zh-CN"/>
        </w:rPr>
      </w:pPr>
      <w:bookmarkStart w:id="39" w:name="_Toc31554"/>
      <w:bookmarkStart w:id="40" w:name="_Toc3057"/>
      <w:bookmarkStart w:id="41" w:name="_Toc15754"/>
      <w:bookmarkStart w:id="42" w:name="_Toc11660"/>
      <w:bookmarkStart w:id="43" w:name="_Toc17359"/>
      <w:bookmarkStart w:id="44" w:name="_Toc29209"/>
      <w:bookmarkStart w:id="45" w:name="_Toc31282"/>
      <w:r>
        <w:rPr>
          <w:rFonts w:hint="eastAsia" w:asciiTheme="minorEastAsia" w:hAnsiTheme="minorEastAsia" w:eastAsiaTheme="minorEastAsia" w:cstheme="minorEastAsia"/>
          <w:sz w:val="24"/>
          <w:szCs w:val="24"/>
          <w:lang w:val="en-US" w:eastAsia="zh-CN"/>
        </w:rPr>
        <w:t>1、LCD液晶显示屏直观清晰，按键操作方便且简单易懂</w:t>
      </w:r>
      <w:r>
        <w:rPr>
          <w:rFonts w:hint="eastAsia" w:asciiTheme="minorEastAsia" w:hAnsiTheme="minorEastAsia" w:cstheme="minorEastAsia"/>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2、ABS高强度外壳，表面磨砂处理，不易老化，美观轻便</w:t>
      </w:r>
      <w:r>
        <w:rPr>
          <w:rFonts w:hint="eastAsia" w:asciiTheme="minorEastAsia" w:hAnsiTheme="minorEastAsia" w:cstheme="minorEastAsia"/>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3、PC观察窗，便于转速检测，观察离心机内部情况</w:t>
      </w:r>
      <w:r>
        <w:rPr>
          <w:rFonts w:hint="eastAsia" w:asciiTheme="minorEastAsia" w:hAnsiTheme="minorEastAsia" w:cstheme="minorEastAsia"/>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4、橡胶吸盘底脚，吸力强劲，防止仪器运行晃动</w:t>
      </w:r>
      <w:r>
        <w:rPr>
          <w:rFonts w:hint="eastAsia" w:asciiTheme="minorEastAsia" w:hAnsiTheme="minorEastAsia" w:cstheme="minorEastAsia"/>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5、直流永磁电机，噪音低，高速轴承、运行平稳</w:t>
      </w:r>
      <w:r>
        <w:rPr>
          <w:rFonts w:hint="eastAsia" w:asciiTheme="minorEastAsia" w:hAnsiTheme="minorEastAsia" w:cstheme="minorEastAsia"/>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6、设有开盖保护、超速保护、故障自动预警功能，增强安全性</w:t>
      </w:r>
      <w:r>
        <w:rPr>
          <w:rFonts w:hint="eastAsia" w:asciiTheme="minorEastAsia" w:hAnsiTheme="minorEastAsia" w:cstheme="minorEastAsia"/>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7、机械门锁控制，即使断电情况下也可以使用按键轻松打开离心机</w:t>
      </w:r>
      <w:r>
        <w:rPr>
          <w:rFonts w:hint="eastAsia" w:asciiTheme="minorEastAsia" w:hAnsiTheme="minorEastAsia" w:cstheme="minorEastAsia"/>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8、容量大，最大适配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100mL转子，可一次性处理大量样品。</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right="0" w:right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4"/>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46" w:name="_Toc8049"/>
      <w:r>
        <w:rPr>
          <w:rFonts w:hint="eastAsia" w:ascii="宋体" w:hAnsi="宋体" w:eastAsia="宋体" w:cs="宋体"/>
          <w:b/>
          <w:bCs/>
          <w:sz w:val="24"/>
          <w:szCs w:val="24"/>
          <w:lang w:val="en-US" w:eastAsia="zh-CN"/>
        </w:rPr>
        <w:t>产品参数</w:t>
      </w:r>
      <w:bookmarkEnd w:id="39"/>
      <w:bookmarkEnd w:id="40"/>
      <w:bookmarkEnd w:id="41"/>
      <w:bookmarkEnd w:id="42"/>
      <w:bookmarkEnd w:id="43"/>
      <w:bookmarkEnd w:id="44"/>
      <w:bookmarkEnd w:id="45"/>
      <w:bookmarkEnd w:id="46"/>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普通款</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932"/>
        <w:gridCol w:w="2124"/>
        <w:gridCol w:w="1992"/>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型号</w:t>
            </w:r>
          </w:p>
        </w:tc>
        <w:tc>
          <w:tcPr>
            <w:tcW w:w="97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普通款</w:t>
            </w:r>
          </w:p>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24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10mL</w:t>
            </w:r>
            <w:r>
              <w:rPr>
                <w:rFonts w:hint="eastAsia" w:asciiTheme="minorEastAsia" w:hAnsiTheme="minorEastAsia" w:eastAsiaTheme="minorEastAsia" w:cstheme="minorEastAsia"/>
                <w:color w:val="auto"/>
                <w:kern w:val="0"/>
                <w:sz w:val="24"/>
                <w:szCs w:val="24"/>
                <w:lang w:bidi="ar"/>
              </w:rPr>
              <w:t>）</w:t>
            </w:r>
          </w:p>
        </w:tc>
        <w:tc>
          <w:tcPr>
            <w:tcW w:w="106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普通款</w:t>
            </w:r>
          </w:p>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12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15mL</w:t>
            </w:r>
            <w:r>
              <w:rPr>
                <w:rFonts w:hint="eastAsia" w:asciiTheme="minorEastAsia" w:hAnsiTheme="minorEastAsia" w:cstheme="minorEastAsia"/>
                <w:i w:val="0"/>
                <w:iCs w:val="0"/>
                <w:color w:val="auto"/>
                <w:kern w:val="0"/>
                <w:sz w:val="24"/>
                <w:szCs w:val="24"/>
                <w:u w:val="none"/>
                <w:lang w:val="en-US" w:eastAsia="zh-CN" w:bidi="ar"/>
              </w:rPr>
              <w:t>）</w:t>
            </w:r>
          </w:p>
        </w:tc>
        <w:tc>
          <w:tcPr>
            <w:tcW w:w="100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普通款</w:t>
            </w:r>
          </w:p>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50mL）</w:t>
            </w:r>
          </w:p>
        </w:tc>
        <w:tc>
          <w:tcPr>
            <w:tcW w:w="95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普通款</w:t>
            </w:r>
          </w:p>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电源电压</w:t>
            </w:r>
          </w:p>
        </w:tc>
        <w:tc>
          <w:tcPr>
            <w:tcW w:w="398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110～220V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机器功率</w:t>
            </w:r>
          </w:p>
        </w:tc>
        <w:tc>
          <w:tcPr>
            <w:tcW w:w="3989"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bidi="ar"/>
              </w:rPr>
            </w:pPr>
            <w:r>
              <w:rPr>
                <w:rFonts w:hint="eastAsia" w:asciiTheme="minorEastAsia" w:hAnsiTheme="minorEastAsia" w:eastAsiaTheme="minorEastAsia" w:cstheme="minorEastAsia"/>
                <w:color w:val="auto"/>
                <w:sz w:val="24"/>
                <w:szCs w:val="24"/>
                <w:lang w:bidi="ar"/>
              </w:rPr>
              <w:t>显示方式</w:t>
            </w:r>
          </w:p>
        </w:tc>
        <w:tc>
          <w:tcPr>
            <w:tcW w:w="3989"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color w:val="auto"/>
                <w:sz w:val="24"/>
                <w:szCs w:val="24"/>
              </w:rPr>
              <w:t>LCD液晶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lang w:bidi="ar"/>
              </w:rPr>
            </w:pPr>
            <w:r>
              <w:rPr>
                <w:rFonts w:hint="eastAsia" w:asciiTheme="minorEastAsia" w:hAnsiTheme="minorEastAsia" w:eastAsiaTheme="minorEastAsia" w:cstheme="minorEastAsia"/>
                <w:i w:val="0"/>
                <w:iCs w:val="0"/>
                <w:color w:val="auto"/>
                <w:kern w:val="0"/>
                <w:sz w:val="24"/>
                <w:szCs w:val="24"/>
                <w:u w:val="none"/>
                <w:lang w:val="en-US" w:eastAsia="zh-CN" w:bidi="ar"/>
              </w:rPr>
              <w:t>转速范围rpm</w:t>
            </w:r>
          </w:p>
        </w:tc>
        <w:tc>
          <w:tcPr>
            <w:tcW w:w="398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500～4000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bidi="ar"/>
              </w:rPr>
            </w:pPr>
            <w:r>
              <w:rPr>
                <w:rFonts w:hint="eastAsia" w:asciiTheme="minorEastAsia" w:hAnsiTheme="minorEastAsia" w:eastAsiaTheme="minorEastAsia" w:cstheme="minorEastAsia"/>
                <w:color w:val="auto"/>
                <w:sz w:val="24"/>
                <w:szCs w:val="24"/>
                <w:lang w:bidi="ar"/>
              </w:rPr>
              <w:t>相对离心力</w:t>
            </w:r>
            <w:r>
              <w:rPr>
                <w:rFonts w:hint="eastAsia" w:asciiTheme="minorEastAsia" w:hAnsiTheme="minorEastAsia" w:cstheme="minorEastAsia"/>
                <w:color w:val="auto"/>
                <w:sz w:val="24"/>
                <w:szCs w:val="24"/>
                <w:lang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xg</w:t>
            </w:r>
            <w:r>
              <w:rPr>
                <w:rFonts w:hint="eastAsia" w:asciiTheme="minorEastAsia" w:hAnsiTheme="minorEastAsia" w:cstheme="minorEastAsia"/>
                <w:i w:val="0"/>
                <w:iCs w:val="0"/>
                <w:color w:val="auto"/>
                <w:kern w:val="0"/>
                <w:sz w:val="24"/>
                <w:szCs w:val="24"/>
                <w:u w:val="none"/>
                <w:lang w:val="en-US" w:eastAsia="zh-CN" w:bidi="ar"/>
              </w:rPr>
              <w:t>）</w:t>
            </w:r>
          </w:p>
        </w:tc>
        <w:tc>
          <w:tcPr>
            <w:tcW w:w="2037"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2146</w:t>
            </w:r>
          </w:p>
        </w:tc>
        <w:tc>
          <w:tcPr>
            <w:tcW w:w="1951"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bidi="ar"/>
              </w:rPr>
            </w:pPr>
            <w:r>
              <w:rPr>
                <w:rFonts w:hint="eastAsia" w:asciiTheme="minorEastAsia" w:hAnsiTheme="minorEastAsia" w:eastAsiaTheme="minorEastAsia" w:cstheme="minorEastAsia"/>
                <w:color w:val="auto"/>
                <w:sz w:val="24"/>
                <w:szCs w:val="24"/>
                <w:lang w:val="en-US" w:eastAsia="zh-CN"/>
              </w:rPr>
              <w:t>角</w:t>
            </w:r>
            <w:r>
              <w:rPr>
                <w:rFonts w:hint="eastAsia" w:asciiTheme="minorEastAsia" w:hAnsiTheme="minorEastAsia" w:eastAsiaTheme="minorEastAsia" w:cstheme="minorEastAsia"/>
                <w:color w:val="auto"/>
                <w:sz w:val="24"/>
                <w:szCs w:val="24"/>
              </w:rPr>
              <w:t>转子规格</w:t>
            </w:r>
          </w:p>
        </w:tc>
        <w:tc>
          <w:tcPr>
            <w:tcW w:w="97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24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10mL</w:t>
            </w:r>
          </w:p>
        </w:tc>
        <w:tc>
          <w:tcPr>
            <w:tcW w:w="1067"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12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15mL</w:t>
            </w:r>
          </w:p>
        </w:tc>
        <w:tc>
          <w:tcPr>
            <w:tcW w:w="100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50mL</w:t>
            </w:r>
          </w:p>
        </w:tc>
        <w:tc>
          <w:tcPr>
            <w:tcW w:w="95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bidi="ar"/>
              </w:rPr>
            </w:pPr>
            <w:r>
              <w:rPr>
                <w:rFonts w:hint="eastAsia" w:asciiTheme="minorEastAsia" w:hAnsiTheme="minorEastAsia" w:eastAsiaTheme="minorEastAsia" w:cstheme="minorEastAsia"/>
                <w:color w:val="auto"/>
                <w:sz w:val="24"/>
                <w:szCs w:val="24"/>
                <w:lang w:bidi="ar"/>
              </w:rPr>
              <w:t>试管容量</w:t>
            </w:r>
          </w:p>
        </w:tc>
        <w:tc>
          <w:tcPr>
            <w:tcW w:w="97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10m</w:t>
            </w:r>
            <w:r>
              <w:rPr>
                <w:rFonts w:hint="eastAsia" w:asciiTheme="minorEastAsia" w:hAnsiTheme="minorEastAsia" w:eastAsiaTheme="minorEastAsia" w:cstheme="minorEastAsia"/>
                <w:color w:val="auto"/>
                <w:sz w:val="24"/>
                <w:szCs w:val="24"/>
                <w:lang w:val="en-US" w:eastAsia="zh-CN"/>
              </w:rPr>
              <w:t>L</w:t>
            </w:r>
          </w:p>
        </w:tc>
        <w:tc>
          <w:tcPr>
            <w:tcW w:w="1067"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color w:val="auto"/>
                <w:sz w:val="24"/>
                <w:szCs w:val="24"/>
              </w:rPr>
              <w:t>15m</w:t>
            </w:r>
            <w:r>
              <w:rPr>
                <w:rFonts w:hint="eastAsia" w:asciiTheme="minorEastAsia" w:hAnsiTheme="minorEastAsia" w:eastAsiaTheme="minorEastAsia" w:cstheme="minorEastAsia"/>
                <w:color w:val="auto"/>
                <w:sz w:val="24"/>
                <w:szCs w:val="24"/>
                <w:lang w:val="en-US" w:eastAsia="zh-CN"/>
              </w:rPr>
              <w:t>L</w:t>
            </w:r>
          </w:p>
        </w:tc>
        <w:tc>
          <w:tcPr>
            <w:tcW w:w="100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color w:val="auto"/>
                <w:sz w:val="24"/>
                <w:szCs w:val="24"/>
              </w:rPr>
              <w:t>50m</w:t>
            </w:r>
            <w:r>
              <w:rPr>
                <w:rFonts w:hint="eastAsia" w:asciiTheme="minorEastAsia" w:hAnsiTheme="minorEastAsia" w:eastAsiaTheme="minorEastAsia" w:cstheme="minorEastAsia"/>
                <w:color w:val="auto"/>
                <w:sz w:val="24"/>
                <w:szCs w:val="24"/>
                <w:lang w:val="en-US" w:eastAsia="zh-CN"/>
              </w:rPr>
              <w:t>L</w:t>
            </w:r>
          </w:p>
        </w:tc>
        <w:tc>
          <w:tcPr>
            <w:tcW w:w="95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color w:val="auto"/>
                <w:sz w:val="24"/>
                <w:szCs w:val="24"/>
              </w:rPr>
              <w:t>100m</w:t>
            </w:r>
            <w:r>
              <w:rPr>
                <w:rFonts w:hint="eastAsia" w:asciiTheme="minorEastAsia" w:hAnsiTheme="minorEastAsia" w:eastAsiaTheme="minorEastAsia" w:cstheme="minorEastAsia"/>
                <w:color w:val="auto"/>
                <w:sz w:val="24"/>
                <w:szCs w:val="24"/>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净重</w:t>
            </w:r>
            <w:r>
              <w:rPr>
                <w:rFonts w:hint="eastAsia" w:asciiTheme="minorEastAsia" w:hAnsiTheme="minorEastAsia" w:cstheme="minorEastAsia"/>
                <w:color w:val="auto"/>
                <w:sz w:val="24"/>
                <w:szCs w:val="24"/>
                <w:lang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Kg</w:t>
            </w:r>
            <w:r>
              <w:rPr>
                <w:rFonts w:hint="eastAsia" w:asciiTheme="minorEastAsia" w:hAnsiTheme="minorEastAsia" w:cstheme="minorEastAsia"/>
                <w:i w:val="0"/>
                <w:iCs w:val="0"/>
                <w:color w:val="auto"/>
                <w:kern w:val="0"/>
                <w:sz w:val="24"/>
                <w:szCs w:val="24"/>
                <w:u w:val="none"/>
                <w:lang w:val="en-US" w:eastAsia="zh-CN" w:bidi="ar"/>
              </w:rPr>
              <w:t>）</w:t>
            </w:r>
          </w:p>
        </w:tc>
        <w:tc>
          <w:tcPr>
            <w:tcW w:w="3989"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产品尺寸</w:t>
            </w:r>
          </w:p>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（L×W×H）mm</w:t>
            </w:r>
          </w:p>
        </w:tc>
        <w:tc>
          <w:tcPr>
            <w:tcW w:w="398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390×320×270</w:t>
            </w:r>
          </w:p>
        </w:tc>
      </w:tr>
    </w:tbl>
    <w:p>
      <w:pPr>
        <w:keepNext w:val="0"/>
        <w:keepLines w:val="0"/>
        <w:pageBreakBefore w:val="0"/>
        <w:widowControl w:val="0"/>
        <w:numPr>
          <w:ilvl w:val="0"/>
          <w:numId w:val="5"/>
        </w:numPr>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定时款</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2055"/>
        <w:gridCol w:w="2075"/>
        <w:gridCol w:w="1988"/>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型号</w:t>
            </w:r>
          </w:p>
        </w:tc>
        <w:tc>
          <w:tcPr>
            <w:tcW w:w="2055"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bookmarkStart w:id="47" w:name="OLE_LINK1"/>
            <w:r>
              <w:rPr>
                <w:rFonts w:hint="eastAsia" w:asciiTheme="minorEastAsia" w:hAnsiTheme="minorEastAsia" w:cstheme="minorEastAsia"/>
                <w:i w:val="0"/>
                <w:iCs w:val="0"/>
                <w:color w:val="auto"/>
                <w:kern w:val="0"/>
                <w:sz w:val="24"/>
                <w:szCs w:val="24"/>
                <w:u w:val="none"/>
                <w:lang w:val="en-US" w:eastAsia="zh-CN" w:bidi="ar"/>
              </w:rPr>
              <w:t>定时款</w:t>
            </w:r>
          </w:p>
          <w:bookmarkEnd w:id="47"/>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24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10mL）</w:t>
            </w:r>
          </w:p>
        </w:tc>
        <w:tc>
          <w:tcPr>
            <w:tcW w:w="2075"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定时款</w:t>
            </w:r>
          </w:p>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12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15mL）</w:t>
            </w:r>
          </w:p>
        </w:tc>
        <w:tc>
          <w:tcPr>
            <w:tcW w:w="198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定时款</w:t>
            </w:r>
          </w:p>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50mL）</w:t>
            </w:r>
          </w:p>
        </w:tc>
        <w:tc>
          <w:tcPr>
            <w:tcW w:w="1906"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定时款</w:t>
            </w:r>
          </w:p>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电源电压</w:t>
            </w:r>
          </w:p>
        </w:tc>
        <w:tc>
          <w:tcPr>
            <w:tcW w:w="802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110～220V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i w:val="0"/>
                <w:iCs w:val="0"/>
                <w:color w:val="auto"/>
                <w:kern w:val="0"/>
                <w:sz w:val="24"/>
                <w:szCs w:val="24"/>
                <w:u w:val="none"/>
                <w:lang w:val="en-US" w:eastAsia="zh-CN" w:bidi="ar"/>
              </w:rPr>
              <w:t>机器功率</w:t>
            </w:r>
          </w:p>
        </w:tc>
        <w:tc>
          <w:tcPr>
            <w:tcW w:w="802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i w:val="0"/>
                <w:iCs w:val="0"/>
                <w:color w:val="auto"/>
                <w:kern w:val="0"/>
                <w:sz w:val="24"/>
                <w:szCs w:val="24"/>
                <w:u w:val="none"/>
                <w:lang w:val="en-US" w:eastAsia="zh-CN" w:bidi="ar"/>
              </w:rPr>
              <w:t>显示方式</w:t>
            </w:r>
          </w:p>
        </w:tc>
        <w:tc>
          <w:tcPr>
            <w:tcW w:w="802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LCD液晶屏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转速范围rpm</w:t>
            </w:r>
          </w:p>
        </w:tc>
        <w:tc>
          <w:tcPr>
            <w:tcW w:w="802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500～4000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定时范围</w:t>
            </w:r>
          </w:p>
        </w:tc>
        <w:tc>
          <w:tcPr>
            <w:tcW w:w="802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0～99min59s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相对离心力</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xg</w:t>
            </w:r>
            <w:r>
              <w:rPr>
                <w:rFonts w:hint="eastAsia" w:asciiTheme="minorEastAsia" w:hAnsiTheme="minorEastAsia" w:cstheme="minorEastAsia"/>
                <w:i w:val="0"/>
                <w:iCs w:val="0"/>
                <w:color w:val="auto"/>
                <w:kern w:val="0"/>
                <w:sz w:val="24"/>
                <w:szCs w:val="24"/>
                <w:u w:val="none"/>
                <w:lang w:val="en-US" w:eastAsia="zh-CN" w:bidi="ar"/>
              </w:rPr>
              <w:t>）</w:t>
            </w:r>
          </w:p>
        </w:tc>
        <w:tc>
          <w:tcPr>
            <w:tcW w:w="413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2146</w:t>
            </w:r>
          </w:p>
        </w:tc>
        <w:tc>
          <w:tcPr>
            <w:tcW w:w="38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角转子规格</w:t>
            </w:r>
          </w:p>
        </w:tc>
        <w:tc>
          <w:tcPr>
            <w:tcW w:w="2055"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10mL</w:t>
            </w:r>
          </w:p>
        </w:tc>
        <w:tc>
          <w:tcPr>
            <w:tcW w:w="2075"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12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15mL</w:t>
            </w:r>
          </w:p>
        </w:tc>
        <w:tc>
          <w:tcPr>
            <w:tcW w:w="198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50mL</w:t>
            </w:r>
          </w:p>
        </w:tc>
        <w:tc>
          <w:tcPr>
            <w:tcW w:w="1906"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i w:val="0"/>
                <w:iCs w:val="0"/>
                <w:color w:val="auto"/>
                <w:kern w:val="0"/>
                <w:sz w:val="24"/>
                <w:szCs w:val="24"/>
                <w:u w:val="none"/>
                <w:lang w:val="en-US" w:eastAsia="zh-CN" w:bidi="ar"/>
              </w:rPr>
              <w:t>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bidi="ar"/>
              </w:rPr>
              <w:t>试管容量</w:t>
            </w:r>
          </w:p>
        </w:tc>
        <w:tc>
          <w:tcPr>
            <w:tcW w:w="2055" w:type="dxa"/>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rPr>
              <w:t>10m</w:t>
            </w:r>
            <w:r>
              <w:rPr>
                <w:rFonts w:hint="eastAsia" w:asciiTheme="minorEastAsia" w:hAnsiTheme="minorEastAsia" w:eastAsiaTheme="minorEastAsia" w:cstheme="minorEastAsia"/>
                <w:color w:val="auto"/>
                <w:sz w:val="24"/>
                <w:szCs w:val="24"/>
                <w:lang w:val="en-US" w:eastAsia="zh-CN"/>
              </w:rPr>
              <w:t>L</w:t>
            </w:r>
          </w:p>
        </w:tc>
        <w:tc>
          <w:tcPr>
            <w:tcW w:w="2075" w:type="dxa"/>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rPr>
              <w:t>15m</w:t>
            </w:r>
            <w:r>
              <w:rPr>
                <w:rFonts w:hint="eastAsia" w:asciiTheme="minorEastAsia" w:hAnsiTheme="minorEastAsia" w:eastAsiaTheme="minorEastAsia" w:cstheme="minorEastAsia"/>
                <w:color w:val="auto"/>
                <w:sz w:val="24"/>
                <w:szCs w:val="24"/>
                <w:lang w:val="en-US" w:eastAsia="zh-CN"/>
              </w:rPr>
              <w:t>L</w:t>
            </w:r>
          </w:p>
        </w:tc>
        <w:tc>
          <w:tcPr>
            <w:tcW w:w="1988" w:type="dxa"/>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rPr>
              <w:t>50m</w:t>
            </w:r>
            <w:r>
              <w:rPr>
                <w:rFonts w:hint="eastAsia" w:asciiTheme="minorEastAsia" w:hAnsiTheme="minorEastAsia" w:eastAsiaTheme="minorEastAsia" w:cstheme="minorEastAsia"/>
                <w:color w:val="auto"/>
                <w:sz w:val="24"/>
                <w:szCs w:val="24"/>
                <w:lang w:val="en-US" w:eastAsia="zh-CN"/>
              </w:rPr>
              <w:t>L</w:t>
            </w:r>
          </w:p>
        </w:tc>
        <w:tc>
          <w:tcPr>
            <w:tcW w:w="1906" w:type="dxa"/>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rPr>
              <w:t>100m</w:t>
            </w:r>
            <w:r>
              <w:rPr>
                <w:rFonts w:hint="eastAsia" w:asciiTheme="minorEastAsia" w:hAnsiTheme="minorEastAsia" w:eastAsiaTheme="minorEastAsia" w:cstheme="minorEastAsia"/>
                <w:color w:val="auto"/>
                <w:sz w:val="24"/>
                <w:szCs w:val="24"/>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净重</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Kg</w:t>
            </w:r>
            <w:r>
              <w:rPr>
                <w:rFonts w:hint="eastAsia" w:asciiTheme="minorEastAsia" w:hAnsiTheme="minorEastAsia" w:cstheme="minorEastAsia"/>
                <w:i w:val="0"/>
                <w:iCs w:val="0"/>
                <w:color w:val="auto"/>
                <w:kern w:val="0"/>
                <w:sz w:val="24"/>
                <w:szCs w:val="24"/>
                <w:u w:val="none"/>
                <w:lang w:val="en-US" w:eastAsia="zh-CN" w:bidi="ar"/>
              </w:rPr>
              <w:t>）</w:t>
            </w:r>
          </w:p>
        </w:tc>
        <w:tc>
          <w:tcPr>
            <w:tcW w:w="802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产品尺寸</w:t>
            </w:r>
          </w:p>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（L×W×H）mm</w:t>
            </w:r>
          </w:p>
        </w:tc>
        <w:tc>
          <w:tcPr>
            <w:tcW w:w="802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390×320×270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48" w:name="_Toc19896"/>
      <w:bookmarkStart w:id="49" w:name="_Toc19760"/>
      <w:bookmarkStart w:id="50" w:name="_Toc8237"/>
      <w:bookmarkStart w:id="51" w:name="_Toc22012"/>
      <w:bookmarkStart w:id="52" w:name="_Toc24491"/>
      <w:bookmarkStart w:id="53" w:name="_Toc23267"/>
      <w:bookmarkStart w:id="54" w:name="_Toc6497"/>
      <w:bookmarkStart w:id="55" w:name="_Toc10547"/>
      <w:r>
        <w:rPr>
          <w:rFonts w:hint="eastAsia" w:ascii="宋体" w:hAnsi="宋体" w:eastAsia="宋体" w:cs="宋体"/>
          <w:b/>
          <w:bCs/>
          <w:sz w:val="24"/>
          <w:szCs w:val="24"/>
          <w:lang w:val="en-US" w:eastAsia="zh-CN"/>
        </w:rPr>
        <w:t>五、设备安装</w:t>
      </w:r>
      <w:bookmarkEnd w:id="48"/>
      <w:bookmarkEnd w:id="49"/>
      <w:bookmarkEnd w:id="50"/>
      <w:bookmarkEnd w:id="51"/>
      <w:bookmarkEnd w:id="52"/>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jc w:val="both"/>
        <w:textAlignment w:val="auto"/>
        <w:rPr>
          <w:rFonts w:hint="eastAsia" w:asciiTheme="minorEastAsia" w:hAnsiTheme="minorEastAsia" w:eastAsiaTheme="minorEastAsia" w:cstheme="minorEastAsia"/>
          <w:sz w:val="24"/>
          <w:szCs w:val="24"/>
          <w:lang w:val="en-US" w:eastAsia="zh-CN"/>
        </w:rPr>
      </w:pPr>
      <w:bookmarkStart w:id="56" w:name="_Toc29876"/>
      <w:bookmarkStart w:id="57" w:name="_Toc15868"/>
      <w:bookmarkStart w:id="58" w:name="_Toc4453"/>
      <w:bookmarkStart w:id="59" w:name="_Toc6330"/>
      <w:bookmarkStart w:id="60" w:name="_Toc8291"/>
      <w:bookmarkStart w:id="61" w:name="_Toc13359"/>
      <w:bookmarkStart w:id="62" w:name="_Toc14105"/>
      <w:bookmarkStart w:id="63" w:name="_Toc9309"/>
      <w:r>
        <w:rPr>
          <w:rFonts w:hint="eastAsia" w:asciiTheme="minorEastAsia" w:hAnsiTheme="minorEastAsia" w:eastAsiaTheme="minorEastAsia" w:cstheme="minorEastAsia"/>
          <w:sz w:val="24"/>
          <w:szCs w:val="24"/>
          <w:lang w:val="en-US" w:eastAsia="zh-CN"/>
        </w:rPr>
        <w:t>1、工作环境的选择</w:t>
      </w:r>
      <w:bookmarkEnd w:id="56"/>
      <w:r>
        <w:rPr>
          <w:rFonts w:hint="eastAsia" w:asciiTheme="minorEastAsia" w:hAnsiTheme="minorEastAsia" w:eastAsiaTheme="minorEastAsia" w:cstheme="minorEastAsia"/>
          <w:sz w:val="24"/>
          <w:szCs w:val="24"/>
          <w:lang w:val="en-US" w:eastAsia="zh-CN"/>
        </w:rPr>
        <w:t>应按下面的要求选择：</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88"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工作环境应保持清洁、干燥。</w:t>
      </w:r>
    </w:p>
    <w:p>
      <w:pPr>
        <w:pStyle w:val="12"/>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仪器应放置在水平、平稳的工作台上。</w:t>
      </w:r>
    </w:p>
    <w:p>
      <w:pPr>
        <w:pStyle w:val="12"/>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应使仪器远离带有磁性或能产生磁场的物体及设备。</w:t>
      </w:r>
    </w:p>
    <w:p>
      <w:pPr>
        <w:pStyle w:val="12"/>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不得在具有爆炸性危险的区域内使用仪器。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highlight w:val="none"/>
          <w:lang w:val="en-US" w:eastAsia="zh-CN"/>
        </w:rPr>
        <w:t>安装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jc w:val="both"/>
        <w:textAlignment w:val="auto"/>
        <w:rPr>
          <w:rFonts w:hint="eastAsia" w:asciiTheme="minorEastAsia" w:hAnsiTheme="minorEastAsia" w:eastAsiaTheme="minorEastAsia" w:cstheme="minorEastAsia"/>
          <w:color w:val="000000"/>
          <w:spacing w:val="0"/>
          <w:w w:val="100"/>
          <w:position w:val="0"/>
          <w:sz w:val="24"/>
          <w:szCs w:val="24"/>
          <w:lang w:eastAsia="zh-CN"/>
        </w:rPr>
      </w:pPr>
      <w:r>
        <w:rPr>
          <w:rFonts w:hint="eastAsia" w:asciiTheme="minorEastAsia" w:hAnsiTheme="minorEastAsia" w:eastAsiaTheme="minorEastAsia" w:cstheme="minorEastAsia"/>
          <w:color w:val="000000"/>
          <w:spacing w:val="0"/>
          <w:w w:val="100"/>
          <w:position w:val="0"/>
          <w:sz w:val="24"/>
          <w:szCs w:val="24"/>
          <w:lang w:eastAsia="zh-CN"/>
        </w:rPr>
        <w:t>（</w:t>
      </w:r>
      <w:r>
        <w:rPr>
          <w:rFonts w:hint="eastAsia" w:asciiTheme="minorEastAsia" w:hAnsiTheme="minorEastAsia" w:eastAsiaTheme="minorEastAsia" w:cstheme="minorEastAsia"/>
          <w:color w:val="000000"/>
          <w:spacing w:val="0"/>
          <w:w w:val="100"/>
          <w:position w:val="0"/>
          <w:sz w:val="24"/>
          <w:szCs w:val="24"/>
          <w:lang w:val="en-US" w:eastAsia="zh-CN"/>
        </w:rPr>
        <w:t>1</w:t>
      </w:r>
      <w:r>
        <w:rPr>
          <w:rFonts w:hint="eastAsia" w:asciiTheme="minorEastAsia" w:hAnsiTheme="minorEastAsia" w:eastAsiaTheme="minorEastAsia" w:cstheme="minorEastAsia"/>
          <w:color w:val="000000"/>
          <w:spacing w:val="0"/>
          <w:w w:val="100"/>
          <w:position w:val="0"/>
          <w:sz w:val="24"/>
          <w:szCs w:val="24"/>
          <w:lang w:eastAsia="zh-CN"/>
        </w:rPr>
        <w:t>）</w:t>
      </w:r>
      <w:r>
        <w:rPr>
          <w:rFonts w:hint="eastAsia" w:asciiTheme="minorEastAsia" w:hAnsiTheme="minorEastAsia" w:eastAsiaTheme="minorEastAsia" w:cstheme="minorEastAsia"/>
          <w:color w:val="000000"/>
          <w:spacing w:val="0"/>
          <w:w w:val="100"/>
          <w:position w:val="0"/>
          <w:sz w:val="24"/>
          <w:szCs w:val="24"/>
        </w:rPr>
        <w:t>拆箱后，除去一切包装，取掉缓冲海绵</w:t>
      </w:r>
      <w:r>
        <w:rPr>
          <w:rFonts w:hint="eastAsia" w:asciiTheme="minorEastAsia" w:hAnsiTheme="minorEastAsia" w:eastAsiaTheme="minorEastAsia" w:cstheme="minorEastAsia"/>
          <w:color w:val="000000"/>
          <w:spacing w:val="0"/>
          <w:w w:val="100"/>
          <w:positio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（2）将离心机置于稳定无振动的工作台上，尽可能水平，连接电源线。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64" w:name="_Toc26868"/>
      <w:r>
        <w:rPr>
          <w:rFonts w:hint="eastAsia" w:ascii="宋体" w:hAnsi="宋体" w:eastAsia="宋体" w:cs="宋体"/>
          <w:b/>
          <w:bCs/>
          <w:sz w:val="24"/>
          <w:szCs w:val="24"/>
          <w:lang w:val="en-US" w:eastAsia="zh-CN"/>
        </w:rPr>
        <w:t>六、设备使用</w:t>
      </w:r>
      <w:bookmarkEnd w:id="57"/>
      <w:bookmarkEnd w:id="58"/>
      <w:bookmarkEnd w:id="59"/>
      <w:bookmarkEnd w:id="60"/>
      <w:bookmarkEnd w:id="61"/>
      <w:bookmarkEnd w:id="62"/>
      <w:bookmarkEnd w:id="63"/>
      <w:bookmarkEnd w:id="64"/>
    </w:p>
    <w:p>
      <w:pPr>
        <w:keepNext w:val="0"/>
        <w:keepLines w:val="0"/>
        <w:pageBreakBefore w:val="0"/>
        <w:widowControl w:val="0"/>
        <w:numPr>
          <w:ilvl w:val="0"/>
          <w:numId w:val="7"/>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bookmarkStart w:id="65" w:name="_Toc4648"/>
      <w:bookmarkStart w:id="66" w:name="_Toc19986"/>
      <w:bookmarkStart w:id="67" w:name="_Toc11266"/>
      <w:bookmarkStart w:id="68" w:name="_Toc13242"/>
      <w:bookmarkStart w:id="69" w:name="_Toc17566"/>
      <w:bookmarkStart w:id="70" w:name="_Toc24513"/>
      <w:bookmarkStart w:id="71" w:name="_Toc6758"/>
      <w:r>
        <w:rPr>
          <w:rFonts w:hint="eastAsia" w:asciiTheme="minorEastAsia" w:hAnsiTheme="minorEastAsia" w:eastAsiaTheme="minorEastAsia" w:cstheme="minorEastAsia"/>
          <w:sz w:val="24"/>
          <w:szCs w:val="24"/>
          <w:highlight w:val="none"/>
          <w:lang w:val="en-US" w:eastAsia="zh-CN"/>
        </w:rPr>
        <w:t>操作界面及按键功能</w:t>
      </w:r>
    </w:p>
    <w:p>
      <w:pPr>
        <w:keepNext w:val="0"/>
        <w:keepLines w:val="0"/>
        <w:pageBreakBefore w:val="0"/>
        <w:widowControl w:val="0"/>
        <w:numPr>
          <w:ilvl w:val="0"/>
          <w:numId w:val="8"/>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普通款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drawing>
          <wp:inline distT="0" distB="0" distL="0" distR="0">
            <wp:extent cx="5808345" cy="2143125"/>
            <wp:effectExtent l="0" t="0" r="190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37"/>
                    <a:stretch>
                      <a:fillRect/>
                    </a:stretch>
                  </pic:blipFill>
                  <pic:spPr>
                    <a:xfrm>
                      <a:off x="0" y="0"/>
                      <a:ext cx="5808345" cy="2143125"/>
                    </a:xfrm>
                    <a:prstGeom prst="rect">
                      <a:avLst/>
                    </a:prstGeom>
                  </pic:spPr>
                </pic:pic>
              </a:graphicData>
            </a:graphic>
          </wp:inline>
        </w:drawing>
      </w:r>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248"/>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序号</w:t>
            </w:r>
          </w:p>
        </w:tc>
        <w:tc>
          <w:tcPr>
            <w:tcW w:w="1130"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功能名称</w:t>
            </w:r>
          </w:p>
        </w:tc>
        <w:tc>
          <w:tcPr>
            <w:tcW w:w="3468"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①</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转速旋钮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启动/停止</w:t>
            </w:r>
          </w:p>
        </w:tc>
        <w:tc>
          <w:tcPr>
            <w:tcW w:w="3468"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运行前通过旋转旋钮可调整所需转速，复用功能按下旋钮即可</w:t>
            </w:r>
          </w:p>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启动/停止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②</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门控状态</w:t>
            </w:r>
          </w:p>
        </w:tc>
        <w:tc>
          <w:tcPr>
            <w:tcW w:w="3468"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仪器开关盖感应，开盖状态</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图标盖子打开，</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左侧Pause会闪烁，</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关</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盖</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状态盖子关闭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③</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实际转速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窗口</w:t>
            </w:r>
          </w:p>
        </w:tc>
        <w:tc>
          <w:tcPr>
            <w:tcW w:w="3468"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窗口显示离心机实际转速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④</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运行</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图标</w:t>
            </w:r>
          </w:p>
        </w:tc>
        <w:tc>
          <w:tcPr>
            <w:tcW w:w="3468"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在仪器启动和运行过程中</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指示灯</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进行</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旋转</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闪烁，停止</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运行</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后</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指示灯</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不亮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⑤</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转速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单位窗口</w:t>
            </w:r>
          </w:p>
        </w:tc>
        <w:tc>
          <w:tcPr>
            <w:tcW w:w="3468"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此窗口常亮，rpm表示转速单位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⑥</w:t>
            </w:r>
          </w:p>
        </w:tc>
        <w:tc>
          <w:tcPr>
            <w:tcW w:w="1130"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运行状态</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窗口</w:t>
            </w:r>
          </w:p>
        </w:tc>
        <w:tc>
          <w:tcPr>
            <w:tcW w:w="3468"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运行时显示working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⑦</w:t>
            </w:r>
          </w:p>
        </w:tc>
        <w:tc>
          <w:tcPr>
            <w:tcW w:w="1130"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开盖</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状态</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窗口</w:t>
            </w:r>
          </w:p>
        </w:tc>
        <w:tc>
          <w:tcPr>
            <w:tcW w:w="3468" w:type="pct"/>
          </w:tcPr>
          <w:p>
            <w:pPr>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开盖状态Pause会闪烁</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定时款</w:t>
      </w:r>
    </w:p>
    <w:p>
      <w:pPr>
        <w:widowControl w:val="0"/>
        <w:numPr>
          <w:ilvl w:val="0"/>
          <w:numId w:val="0"/>
        </w:numPr>
        <w:bidi w:val="0"/>
        <w:spacing w:line="288" w:lineRule="auto"/>
        <w:jc w:val="both"/>
        <w:rPr>
          <w:rFonts w:hint="eastAsia"/>
          <w:highlight w:val="none"/>
          <w:lang w:val="en-US" w:eastAsia="zh-CN"/>
        </w:rPr>
      </w:pPr>
      <w:r>
        <w:rPr>
          <w:rFonts w:hint="eastAsia"/>
          <w:highlight w:val="none"/>
          <w:lang w:val="en-US" w:eastAsia="zh-CN"/>
        </w:rPr>
        <w:drawing>
          <wp:inline distT="0" distB="0" distL="114300" distR="114300">
            <wp:extent cx="6184265" cy="2484755"/>
            <wp:effectExtent l="0" t="0" r="6985" b="1079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38"/>
                    <a:stretch>
                      <a:fillRect/>
                    </a:stretch>
                  </pic:blipFill>
                  <pic:spPr>
                    <a:xfrm>
                      <a:off x="0" y="0"/>
                      <a:ext cx="6184265" cy="2484755"/>
                    </a:xfrm>
                    <a:prstGeom prst="rect">
                      <a:avLst/>
                    </a:prstGeom>
                  </pic:spPr>
                </pic:pic>
              </a:graphicData>
            </a:graphic>
          </wp:inline>
        </w:drawing>
      </w:r>
    </w:p>
    <w:tbl>
      <w:tblPr>
        <w:tblStyle w:val="1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025"/>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4" w:type="pct"/>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序号</w:t>
            </w:r>
          </w:p>
        </w:tc>
        <w:tc>
          <w:tcPr>
            <w:tcW w:w="1017" w:type="pct"/>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功能名称</w:t>
            </w:r>
          </w:p>
        </w:tc>
        <w:tc>
          <w:tcPr>
            <w:tcW w:w="3497" w:type="pct"/>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①</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切换转速与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离心力按键</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短按：切换转速/离心力显示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当</w:t>
            </w:r>
            <w:r>
              <w:rPr>
                <w:rFonts w:hint="eastAsia" w:asciiTheme="minorEastAsia" w:hAnsiTheme="minorEastAsia" w:eastAsiaTheme="minorEastAsia" w:cstheme="minorEastAsia"/>
                <w:sz w:val="24"/>
                <w:szCs w:val="24"/>
              </w:rPr>
              <w:t>LCD显示转速时，“rpm”图标常亮；LCD显示离心力时，“rpm”图标熄灭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②</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auto"/>
                <w:kern w:val="0"/>
                <w:sz w:val="24"/>
                <w:szCs w:val="24"/>
              </w:rPr>
              <w:t>停止运行按键</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短按：停止运行</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长按：5s进入后台设置</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短按</w:t>
            </w:r>
            <w:r>
              <w:rPr>
                <w:rFonts w:hint="eastAsia" w:asciiTheme="minorEastAsia" w:hAnsiTheme="minorEastAsia" w:eastAsiaTheme="minorEastAsia" w:cstheme="minorEastAsia"/>
                <w:color w:val="auto"/>
                <w:sz w:val="24"/>
                <w:szCs w:val="24"/>
                <w:lang w:val="en-US" w:eastAsia="zh-CN"/>
              </w:rPr>
              <w:t>set键</w:t>
            </w:r>
            <w:r>
              <w:rPr>
                <w:rFonts w:hint="eastAsia" w:asciiTheme="minorEastAsia" w:hAnsiTheme="minorEastAsia" w:eastAsiaTheme="minorEastAsia" w:cstheme="minorEastAsia"/>
                <w:color w:val="auto"/>
                <w:sz w:val="24"/>
                <w:szCs w:val="24"/>
              </w:rPr>
              <w:t>可切换设定参数/短按按键保存参数/密码不正确时短按任意按键均可以退出后台</w:t>
            </w:r>
            <w:r>
              <w:rPr>
                <w:rFonts w:hint="eastAsia" w:asciiTheme="minorEastAsia" w:hAnsiTheme="minorEastAsia" w:eastAsiaTheme="minorEastAsia" w:cstheme="minorEastAsia"/>
                <w:color w:val="auto"/>
                <w:sz w:val="24"/>
                <w:szCs w:val="24"/>
                <w:lang w:val="en-US" w:eastAsia="zh-CN"/>
              </w:rPr>
              <w:t>/短按stop键即可退出参数设置</w:t>
            </w:r>
            <w:r>
              <w:rPr>
                <w:rFonts w:hint="eastAsia" w:asciiTheme="minorEastAsia" w:hAnsi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a、LC：输入密码1688进入后台设置</w:t>
            </w:r>
            <w:r>
              <w:rPr>
                <w:rFonts w:hint="eastAsia" w:asciiTheme="minorEastAsia" w:hAnsi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b、SPu：最大转速，设定范围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2000rpm-4000rpm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步进1rpm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出厂默认值4000rpm</w:t>
            </w:r>
            <w:r>
              <w:rPr>
                <w:rFonts w:hint="eastAsia" w:asciiTheme="minorEastAsia" w:hAnsi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c、SPd：最小转速，设定范围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100rpm-1000rpm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步进1rpm：出厂默认值100rpm</w:t>
            </w:r>
            <w:r>
              <w:rPr>
                <w:rFonts w:hint="eastAsia" w:asciiTheme="minorEastAsia" w:hAnsi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d、dSP：加速度，设定范围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1-200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步进1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出厂默认值10</w:t>
            </w:r>
            <w:r>
              <w:rPr>
                <w:rFonts w:hint="eastAsia" w:asciiTheme="minorEastAsia" w:hAnsi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e、RCr</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离心半径，设定范围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1-200cm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步进1cm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出厂默认值10cm</w:t>
            </w:r>
            <w:r>
              <w:rPr>
                <w:rFonts w:hint="eastAsia" w:asciiTheme="minorEastAsia" w:hAnsi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离心半径</w:t>
            </w:r>
            <w:r>
              <w:rPr>
                <w:rFonts w:hint="eastAsia" w:asciiTheme="minorEastAsia" w:hAnsiTheme="minorEastAsia" w:eastAsia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rPr>
              <w:t>产品出厂</w:t>
            </w:r>
            <w:r>
              <w:rPr>
                <w:rFonts w:hint="eastAsia" w:asciiTheme="minorEastAsia" w:hAnsiTheme="minorEastAsia" w:eastAsiaTheme="minorEastAsia" w:cstheme="minorEastAsia"/>
                <w:color w:val="auto"/>
                <w:sz w:val="24"/>
                <w:szCs w:val="24"/>
                <w:lang w:val="en-US" w:eastAsia="zh-CN"/>
              </w:rPr>
              <w:t>前需</w:t>
            </w:r>
            <w:r>
              <w:rPr>
                <w:rFonts w:hint="eastAsia" w:asciiTheme="minorEastAsia" w:hAnsiTheme="minorEastAsia" w:eastAsiaTheme="minorEastAsia" w:cstheme="minorEastAsia"/>
                <w:color w:val="auto"/>
                <w:sz w:val="24"/>
                <w:szCs w:val="24"/>
              </w:rPr>
              <w:t>设置，规则如下：</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auto"/>
                <w:sz w:val="24"/>
                <w:szCs w:val="24"/>
              </w:rPr>
              <w:t>100m</w:t>
            </w:r>
            <w:r>
              <w:rPr>
                <w:rFonts w:hint="eastAsia" w:asciiTheme="minorEastAsia" w:hAnsiTheme="minorEastAsia" w:eastAsiaTheme="minorEastAsia" w:cstheme="minorEastAsia"/>
                <w:color w:val="auto"/>
                <w:sz w:val="24"/>
                <w:szCs w:val="24"/>
                <w:lang w:val="en-US" w:eastAsia="zh-CN"/>
              </w:rPr>
              <w:t>L</w:t>
            </w:r>
            <w:r>
              <w:rPr>
                <w:rFonts w:hint="eastAsia" w:asciiTheme="minorEastAsia" w:hAnsiTheme="minorEastAsia" w:eastAsiaTheme="minorEastAsia" w:cstheme="minorEastAsia"/>
                <w:color w:val="auto"/>
                <w:sz w:val="24"/>
                <w:szCs w:val="24"/>
              </w:rPr>
              <w:t xml:space="preserve"> 离心半径R=10cm</w:t>
            </w:r>
            <w:r>
              <w:rPr>
                <w:rFonts w:hint="eastAsia" w:asciiTheme="minorEastAsia" w:hAnsi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jc w:val="left"/>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（6×50m</w:t>
            </w:r>
            <w:r>
              <w:rPr>
                <w:rFonts w:hint="eastAsia" w:asciiTheme="minorEastAsia" w:hAnsiTheme="minorEastAsia" w:cstheme="minorEastAsia"/>
                <w:color w:val="auto"/>
                <w:sz w:val="24"/>
                <w:szCs w:val="24"/>
                <w:lang w:val="en-US" w:eastAsia="zh-CN"/>
              </w:rPr>
              <w:t>L</w:t>
            </w:r>
            <w:r>
              <w:rPr>
                <w:rFonts w:hint="eastAsia" w:asciiTheme="minorEastAsia" w:hAnsiTheme="minorEastAsia" w:cstheme="minorEastAsia"/>
                <w:color w:val="auto"/>
                <w:sz w:val="24"/>
                <w:szCs w:val="24"/>
                <w:lang w:eastAsia="zh-CN"/>
              </w:rPr>
              <w:t xml:space="preserve"> 离心半径R=10cm）</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jc w:val="left"/>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（12×15m</w:t>
            </w:r>
            <w:r>
              <w:rPr>
                <w:rFonts w:hint="eastAsia" w:asciiTheme="minorEastAsia" w:hAnsiTheme="minorEastAsia" w:cstheme="minorEastAsia"/>
                <w:color w:val="auto"/>
                <w:sz w:val="24"/>
                <w:szCs w:val="24"/>
                <w:lang w:val="en-US" w:eastAsia="zh-CN"/>
              </w:rPr>
              <w:t>L</w:t>
            </w:r>
            <w:r>
              <w:rPr>
                <w:rFonts w:hint="eastAsia" w:asciiTheme="minorEastAsia" w:hAnsiTheme="minorEastAsia" w:cstheme="minorEastAsia"/>
                <w:color w:val="auto"/>
                <w:sz w:val="24"/>
                <w:szCs w:val="24"/>
                <w:lang w:eastAsia="zh-CN"/>
              </w:rPr>
              <w:t xml:space="preserve"> 离心半径R=12cm）</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jc w:val="left"/>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（24×10m</w:t>
            </w:r>
            <w:r>
              <w:rPr>
                <w:rFonts w:hint="eastAsia" w:asciiTheme="minorEastAsia" w:hAnsiTheme="minorEastAsia" w:cstheme="minorEastAsia"/>
                <w:color w:val="auto"/>
                <w:sz w:val="24"/>
                <w:szCs w:val="24"/>
                <w:lang w:val="en-US" w:eastAsia="zh-CN"/>
              </w:rPr>
              <w:t>L</w:t>
            </w:r>
            <w:r>
              <w:rPr>
                <w:rFonts w:hint="eastAsia" w:asciiTheme="minorEastAsia" w:hAnsiTheme="minorEastAsia" w:cstheme="minorEastAsia"/>
                <w:color w:val="auto"/>
                <w:sz w:val="24"/>
                <w:szCs w:val="24"/>
                <w:lang w:eastAsia="zh-CN"/>
              </w:rPr>
              <w:t xml:space="preserve"> 离心半径R=12cm）</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f、RCu：最大离心力，设定范围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44.7</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auto"/>
                <w:sz w:val="24"/>
                <w:szCs w:val="24"/>
              </w:rPr>
              <w:t>RCr</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178.8</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auto"/>
                <w:sz w:val="24"/>
                <w:szCs w:val="24"/>
              </w:rPr>
              <w:t>RCr</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步进1rfc</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出厂默认值1788rfc</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此离心力是按照离心半径换算的</w:t>
            </w:r>
            <w:r>
              <w:rPr>
                <w:rFonts w:hint="eastAsia" w:asciiTheme="minorEastAsia" w:hAnsi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g、RCd：最小离心力，设定范围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auto"/>
                <w:sz w:val="24"/>
                <w:szCs w:val="24"/>
              </w:rPr>
              <w:t>RCr</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11.2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auto"/>
                <w:sz w:val="24"/>
                <w:szCs w:val="24"/>
              </w:rPr>
              <w:t>RCr</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步进1rpm</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出厂默认值1rfc</w:t>
            </w:r>
            <w:r>
              <w:rPr>
                <w:rFonts w:hint="eastAsia" w:asciiTheme="minorEastAsia" w:hAnsiTheme="minorEastAsia" w:cs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③</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启动运行按键</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rPr>
              <w:t>短按：启动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需要处于停机状态，且电机实际转速为0</w:t>
            </w:r>
            <w:r>
              <w:rPr>
                <w:rFonts w:hint="eastAsia" w:asciiTheme="minorEastAsia" w:hAnsi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④</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转速与时间</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设置切换键</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短按：转速与时间之间进行切换</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rPr>
              <w:t>按下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Switch</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键，LCD屏上 “SPEED”图标闪烁</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再按一下Switch键，“TIME”图标闪烁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当图标闪烁时</w:t>
            </w:r>
            <w:r>
              <w:rPr>
                <w:rFonts w:hint="eastAsia" w:asciiTheme="minorEastAsia" w:hAnsiTheme="minorEastAsia" w:eastAsiaTheme="minorEastAsia" w:cstheme="minorEastAsia"/>
                <w:sz w:val="24"/>
                <w:szCs w:val="24"/>
                <w:lang w:val="en-US" w:eastAsia="zh-CN"/>
              </w:rPr>
              <w:t>即可</w:t>
            </w:r>
            <w:r>
              <w:rPr>
                <w:rFonts w:hint="eastAsia" w:asciiTheme="minorEastAsia" w:hAnsiTheme="minorEastAsia" w:eastAsiaTheme="minorEastAsia" w:cstheme="minorEastAsia"/>
                <w:sz w:val="24"/>
                <w:szCs w:val="24"/>
              </w:rPr>
              <w:t>设置转速或时间。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⑤</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转速与故障代码显示窗口</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电机没有运行时显示的是设定转速；电机在运行中，显示</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是实际运行的转速；发生违规操作、故障时，显示故障代码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⑥</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设定时间、程序版本号显示窗口</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电机没有运行时显示的是设定时间，运行</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电机达到设定转速后，显示的是运行剩余时间；</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通</w:t>
            </w:r>
            <w:r>
              <w:rPr>
                <w:rFonts w:hint="eastAsia" w:asciiTheme="minorEastAsia" w:hAnsiTheme="minorEastAsia" w:eastAsiaTheme="minorEastAsia" w:cstheme="minorEastAsia"/>
                <w:color w:val="auto"/>
                <w:kern w:val="0"/>
                <w:sz w:val="24"/>
                <w:szCs w:val="24"/>
                <w:highlight w:val="none"/>
                <w:lang w:val="en-US" w:eastAsia="zh-CN"/>
              </w:rPr>
              <w:t>电</w:t>
            </w:r>
            <w:r>
              <w:rPr>
                <w:rFonts w:hint="eastAsia" w:asciiTheme="minorEastAsia" w:hAnsiTheme="minorEastAsia" w:eastAsiaTheme="minorEastAsia" w:cstheme="minorEastAsia"/>
                <w:color w:val="auto"/>
                <w:kern w:val="0"/>
                <w:sz w:val="24"/>
                <w:szCs w:val="24"/>
                <w:highlight w:val="none"/>
              </w:rPr>
              <w:t>时，会出现程序运行版本号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⑦</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ind w:firstLine="360" w:firstLineChars="15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运行显示</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窗口</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运行时显示working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⑧</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开盖显示</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窗口</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当按</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推</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开盖锁后，出现“pause”闪烁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⑨</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开盖状态显示</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当按推开盖锁后，将显示开盖状态；合上盖显示闭盖状态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⑩</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多功能设置按键</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短</w:t>
            </w:r>
            <w:r>
              <w:rPr>
                <w:rFonts w:hint="eastAsia" w:asciiTheme="minorEastAsia" w:hAnsiTheme="minorEastAsia" w:eastAsiaTheme="minorEastAsia" w:cstheme="minorEastAsia"/>
                <w:color w:val="auto"/>
                <w:sz w:val="24"/>
                <w:szCs w:val="24"/>
              </w:rPr>
              <w:t>按：</w:t>
            </w:r>
            <w:r>
              <w:rPr>
                <w:rFonts w:hint="eastAsia" w:asciiTheme="minorEastAsia" w:hAnsiTheme="minorEastAsia" w:eastAsiaTheme="minorEastAsia" w:cstheme="minorEastAsia"/>
                <w:color w:val="auto"/>
                <w:sz w:val="24"/>
                <w:szCs w:val="24"/>
                <w:lang w:val="en-US" w:eastAsia="zh-CN"/>
              </w:rPr>
              <w:t>设置参数，</w:t>
            </w:r>
            <w:r>
              <w:rPr>
                <w:rFonts w:hint="eastAsia" w:asciiTheme="minorEastAsia" w:hAnsiTheme="minorEastAsia" w:eastAsiaTheme="minorEastAsia" w:cstheme="minorEastAsia"/>
                <w:color w:val="auto"/>
                <w:sz w:val="24"/>
                <w:szCs w:val="24"/>
              </w:rPr>
              <w:t>保存数据（需在停机状态下）</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auto"/>
                <w:sz w:val="24"/>
                <w:szCs w:val="24"/>
              </w:rPr>
              <w:t>旋转：调节数值大小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⑪</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SPEED图标</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rPr>
              <w:t>转速图标；当设置转速时，此图标闪烁，设置完成后显示此图标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⑫</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运行图标</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rPr>
              <w:t>离心机正在运行时此图标</w:t>
            </w:r>
            <w:r>
              <w:rPr>
                <w:rFonts w:hint="eastAsia" w:asciiTheme="minorEastAsia" w:hAnsiTheme="minorEastAsia" w:eastAsiaTheme="minorEastAsia" w:cstheme="minorEastAsia"/>
                <w:sz w:val="24"/>
                <w:szCs w:val="24"/>
                <w:lang w:val="en-US" w:eastAsia="zh-CN"/>
              </w:rPr>
              <w:t>出现并</w:t>
            </w:r>
            <w:r>
              <w:rPr>
                <w:rFonts w:hint="eastAsia" w:asciiTheme="minorEastAsia" w:hAnsiTheme="minorEastAsia" w:eastAsiaTheme="minorEastAsia" w:cstheme="minorEastAsia"/>
                <w:sz w:val="24"/>
                <w:szCs w:val="24"/>
              </w:rPr>
              <w:t>旋转闪烁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⑬</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转速图标</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rPr>
              <w:t>当离心机设置为转速显示时，此</w:t>
            </w:r>
            <w:r>
              <w:rPr>
                <w:rFonts w:hint="eastAsia" w:asciiTheme="minorEastAsia" w:hAnsiTheme="minorEastAsia" w:eastAsiaTheme="minorEastAsia" w:cstheme="minorEastAsia"/>
                <w:sz w:val="24"/>
                <w:szCs w:val="24"/>
                <w:lang w:val="en-US" w:eastAsia="zh-CN"/>
              </w:rPr>
              <w:t>图标</w:t>
            </w:r>
            <w:r>
              <w:rPr>
                <w:rFonts w:hint="eastAsia" w:asciiTheme="minorEastAsia" w:hAnsiTheme="minorEastAsia" w:eastAsiaTheme="minorEastAsia" w:cstheme="minorEastAsia"/>
                <w:sz w:val="24"/>
                <w:szCs w:val="24"/>
              </w:rPr>
              <w:t>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⑭</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时间图标</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rPr>
              <w:t>当设置时间时，此图标闪烁，设置完成后显示此图标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⑮</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定时图标</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highlight w:val="none"/>
              </w:rPr>
              <w:t>时间设定完成后，</w:t>
            </w:r>
            <w:r>
              <w:rPr>
                <w:rFonts w:hint="eastAsia" w:asciiTheme="minorEastAsia" w:hAnsiTheme="minorEastAsia" w:eastAsiaTheme="minorEastAsia" w:cstheme="minorEastAsia"/>
                <w:sz w:val="24"/>
                <w:szCs w:val="24"/>
                <w:highlight w:val="none"/>
                <w:lang w:val="en-US" w:eastAsia="zh-CN"/>
              </w:rPr>
              <w:t>离心机到达设定转速时，</w:t>
            </w:r>
            <w:r>
              <w:rPr>
                <w:rFonts w:hint="eastAsia" w:asciiTheme="minorEastAsia" w:hAnsiTheme="minorEastAsia" w:eastAsiaTheme="minorEastAsia" w:cstheme="minorEastAsia"/>
                <w:sz w:val="24"/>
                <w:szCs w:val="24"/>
                <w:highlight w:val="none"/>
              </w:rPr>
              <w:t>显示此图标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⑯</w:t>
            </w:r>
          </w:p>
        </w:tc>
        <w:tc>
          <w:tcPr>
            <w:tcW w:w="101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sec图标</w:t>
            </w:r>
          </w:p>
        </w:tc>
        <w:tc>
          <w:tcPr>
            <w:tcW w:w="349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代表</w:t>
            </w:r>
            <w:r>
              <w:rPr>
                <w:rFonts w:hint="eastAsia" w:asciiTheme="minorEastAsia" w:hAnsiTheme="minorEastAsia" w:eastAsiaTheme="minorEastAsia" w:cstheme="minorEastAsia"/>
                <w:color w:val="auto"/>
                <w:sz w:val="24"/>
                <w:szCs w:val="24"/>
                <w:lang w:val="en-US" w:eastAsia="zh-CN"/>
              </w:rPr>
              <w:t>计时单位分钟</w:t>
            </w:r>
          </w:p>
        </w:tc>
      </w:tr>
    </w:tbl>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288" w:lineRule="auto"/>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操作方式</w:t>
      </w:r>
    </w:p>
    <w:p>
      <w:pPr>
        <w:keepNext w:val="0"/>
        <w:keepLines w:val="0"/>
        <w:pageBreakBefore w:val="0"/>
        <w:widowControl w:val="0"/>
        <w:numPr>
          <w:ilvl w:val="0"/>
          <w:numId w:val="0"/>
        </w:numPr>
        <w:kinsoku/>
        <w:wordWrap/>
        <w:overflowPunct/>
        <w:topLinePunct w:val="0"/>
        <w:autoSpaceDE/>
        <w:autoSpaceDN/>
        <w:bidi w:val="0"/>
        <w:adjustRightInd/>
        <w:snapToGrid/>
        <w:spacing w:before="95" w:beforeLines="30" w:beforeAutospacing="0" w:afterAutospacing="0" w:line="288" w:lineRule="auto"/>
        <w:ind w:leftChars="0" w:firstLine="0" w:firstLineChars="0"/>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（1）普通款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①</w:t>
      </w:r>
      <w:r>
        <w:rPr>
          <w:rFonts w:hint="eastAsia" w:asciiTheme="minorEastAsia" w:hAnsiTheme="minorEastAsia" w:eastAsiaTheme="minorEastAsia" w:cstheme="minorEastAsia"/>
          <w:color w:val="auto"/>
          <w:sz w:val="24"/>
          <w:szCs w:val="24"/>
          <w:lang w:val="en-US" w:eastAsia="zh-CN"/>
        </w:rPr>
        <w:t>将电源插头接入电源插座内，打开电源开关。</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②将盛有等量试液的离心管，对称放入转子内，以确保转子平衡运行，盖上离心机门盖。</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6孔离心管正确放置图示（六孔）</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drawing>
          <wp:inline distT="0" distB="0" distL="114300" distR="114300">
            <wp:extent cx="2641600" cy="1222375"/>
            <wp:effectExtent l="0" t="0" r="6350" b="15875"/>
            <wp:docPr id="42" name="图片 4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
                    <pic:cNvPicPr>
                      <a:picLocks noChangeAspect="1"/>
                    </pic:cNvPicPr>
                  </pic:nvPicPr>
                  <pic:blipFill>
                    <a:blip r:embed="rId39"/>
                    <a:stretch>
                      <a:fillRect/>
                    </a:stretch>
                  </pic:blipFill>
                  <pic:spPr>
                    <a:xfrm>
                      <a:off x="0" y="0"/>
                      <a:ext cx="2641600" cy="12223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三管                        六管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注意：建议摆放方式如上，配平后同重量间隔摆放，或者满格放，以免不平衡情况引起电机轴偏移。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③转速参数设置：旋转多功能旋钮进行转速数值设置。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④轻按</w:t>
      </w:r>
      <w:r>
        <w:rPr>
          <w:rFonts w:hint="eastAsia" w:asciiTheme="minorEastAsia" w:hAnsiTheme="minorEastAsia" w:eastAsiaTheme="minorEastAsia" w:cstheme="minorEastAsia"/>
          <w:color w:val="auto"/>
          <w:sz w:val="24"/>
          <w:szCs w:val="24"/>
          <w:highlight w:val="none"/>
          <w:lang w:val="en-US" w:eastAsia="zh-CN"/>
        </w:rPr>
        <w:t>多功能</w:t>
      </w:r>
      <w:r>
        <w:rPr>
          <w:rFonts w:hint="eastAsia" w:asciiTheme="minorEastAsia" w:hAnsiTheme="minorEastAsia" w:eastAsiaTheme="minorEastAsia" w:cstheme="minorEastAsia"/>
          <w:b w:val="0"/>
          <w:bCs w:val="0"/>
          <w:color w:val="auto"/>
          <w:sz w:val="24"/>
          <w:szCs w:val="24"/>
          <w:highlight w:val="none"/>
          <w:lang w:val="en-US" w:eastAsia="zh-CN"/>
        </w:rPr>
        <w:t>旋钮即可开始运行。</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⑤轻按</w:t>
      </w:r>
      <w:r>
        <w:rPr>
          <w:rFonts w:hint="eastAsia" w:asciiTheme="minorEastAsia" w:hAnsiTheme="minorEastAsia" w:eastAsiaTheme="minorEastAsia" w:cstheme="minorEastAsia"/>
          <w:color w:val="auto"/>
          <w:sz w:val="24"/>
          <w:szCs w:val="24"/>
          <w:highlight w:val="none"/>
          <w:lang w:val="en-US" w:eastAsia="zh-CN"/>
        </w:rPr>
        <w:t>多功能</w:t>
      </w:r>
      <w:r>
        <w:rPr>
          <w:rFonts w:hint="eastAsia" w:asciiTheme="minorEastAsia" w:hAnsiTheme="minorEastAsia" w:eastAsiaTheme="minorEastAsia" w:cstheme="minorEastAsia"/>
          <w:b w:val="0"/>
          <w:bCs w:val="0"/>
          <w:color w:val="auto"/>
          <w:sz w:val="24"/>
          <w:szCs w:val="24"/>
          <w:highlight w:val="none"/>
          <w:lang w:val="en-US" w:eastAsia="zh-CN"/>
        </w:rPr>
        <w:t>旋钮即可停止运行。</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注意：</w:t>
      </w:r>
      <w:r>
        <w:rPr>
          <w:rFonts w:hint="eastAsia" w:asciiTheme="minorEastAsia" w:hAnsiTheme="minorEastAsia" w:eastAsiaTheme="minorEastAsia" w:cstheme="minorEastAsia"/>
          <w:color w:val="auto"/>
          <w:sz w:val="24"/>
          <w:szCs w:val="24"/>
          <w:highlight w:val="none"/>
          <w:lang w:val="en-US" w:eastAsia="zh-CN"/>
        </w:rPr>
        <w:t>若在运行中，直接按下手动开锁键，离心机开盖，自动停转，</w:t>
      </w:r>
      <w:r>
        <w:rPr>
          <w:rFonts w:hint="eastAsia" w:asciiTheme="minorEastAsia" w:hAnsiTheme="minorEastAsia" w:eastAsiaTheme="minorEastAsia" w:cstheme="minorEastAsia"/>
          <w:color w:val="auto"/>
          <w:sz w:val="24"/>
          <w:szCs w:val="24"/>
          <w:lang w:val="en-US" w:eastAsia="zh-CN"/>
        </w:rPr>
        <w:t>显示屏出现</w:t>
      </w:r>
      <w:r>
        <w:rPr>
          <w:rFonts w:hint="eastAsia" w:asciiTheme="minorEastAsia" w:hAnsiTheme="minorEastAsia" w:eastAsiaTheme="minorEastAsia" w:cstheme="minorEastAsia"/>
          <w:color w:val="auto"/>
          <w:sz w:val="24"/>
          <w:szCs w:val="24"/>
        </w:rPr>
        <w:t>Err</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highlight w:val="none"/>
          <w:lang w:val="en-US" w:eastAsia="zh-CN"/>
        </w:rPr>
        <w:t>关上</w:t>
      </w:r>
      <w:r>
        <w:rPr>
          <w:rFonts w:hint="eastAsia" w:asciiTheme="minorEastAsia" w:hAnsiTheme="minorEastAsia" w:eastAsiaTheme="minorEastAsia" w:cstheme="minorEastAsia"/>
          <w:b w:val="0"/>
          <w:bCs w:val="0"/>
          <w:color w:val="auto"/>
          <w:sz w:val="24"/>
          <w:szCs w:val="24"/>
          <w:highlight w:val="none"/>
          <w:lang w:val="en-US" w:eastAsia="zh-CN"/>
        </w:rPr>
        <w:t>盖子恢复原运行状态。</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⑦离心结束后，按下手动门盖锁，取出离心管，关好门盖，将电源关闭即可。</w:t>
      </w:r>
    </w:p>
    <w:p>
      <w:pPr>
        <w:keepNext w:val="0"/>
        <w:keepLines w:val="0"/>
        <w:pageBreakBefore w:val="0"/>
        <w:widowControl w:val="0"/>
        <w:numPr>
          <w:ilvl w:val="0"/>
          <w:numId w:val="0"/>
        </w:numPr>
        <w:kinsoku/>
        <w:wordWrap/>
        <w:overflowPunct/>
        <w:topLinePunct w:val="0"/>
        <w:autoSpaceDE/>
        <w:autoSpaceDN/>
        <w:bidi w:val="0"/>
        <w:adjustRightInd/>
        <w:snapToGrid/>
        <w:spacing w:before="95" w:beforeLines="30" w:beforeAutospacing="0" w:afterAutospacing="0" w:line="288" w:lineRule="auto"/>
        <w:ind w:leftChars="0" w:firstLine="0" w:firstLineChars="0"/>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cstheme="minorEastAsia"/>
          <w:b/>
          <w:bCs/>
          <w:color w:val="auto"/>
          <w:sz w:val="24"/>
          <w:szCs w:val="24"/>
          <w:lang w:val="en-US" w:eastAsia="zh-CN"/>
        </w:rPr>
        <w:t>定时款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①</w:t>
      </w:r>
      <w:r>
        <w:rPr>
          <w:rFonts w:hint="eastAsia" w:asciiTheme="minorEastAsia" w:hAnsiTheme="minorEastAsia" w:eastAsiaTheme="minorEastAsia" w:cstheme="minorEastAsia"/>
          <w:color w:val="auto"/>
          <w:sz w:val="24"/>
          <w:szCs w:val="24"/>
          <w:lang w:val="en-US" w:eastAsia="zh-CN"/>
        </w:rPr>
        <w:t>将电源插头接入电源插座内，打开电源开关。</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②将盛有等量试液的离心管，对称放入转子内，以确保转子平衡运行，盖上离心机门盖。</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6孔离心管正确放置图示（六孔）</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drawing>
          <wp:inline distT="0" distB="0" distL="114300" distR="114300">
            <wp:extent cx="2442845" cy="1130300"/>
            <wp:effectExtent l="0" t="0" r="14605" b="12700"/>
            <wp:docPr id="43" name="图片 4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
                    <pic:cNvPicPr>
                      <a:picLocks noChangeAspect="1"/>
                    </pic:cNvPicPr>
                  </pic:nvPicPr>
                  <pic:blipFill>
                    <a:blip r:embed="rId39"/>
                    <a:stretch>
                      <a:fillRect/>
                    </a:stretch>
                  </pic:blipFill>
                  <pic:spPr>
                    <a:xfrm>
                      <a:off x="0" y="0"/>
                      <a:ext cx="2442845" cy="11303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三管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六管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注意：建议摆放方式如上，配平后同重量间隔摆放，或者满格放，以免不平衡情况引起电机轴偏移。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③转速参数设置：轻按多功能设置旋钮，进入参数设置状态，显示屏上SPEED图标闪烁，此时旋转多功能设置旋钮，进行转速数值设置。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④离心力参数设置：轻按rcf/rpm按键，显示屏上rpm消失，此时旋转多功能设置旋钮，进行离心力数值设置。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⑤定时时间参数设置：轻按多功能设置旋钮或Switch键，显示屏上TIME图标闪烁，此时旋转多功能设置旋钮，进行定时时间设置，时间显示为“分钟：秒”</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⑥轻按多功能设置旋钮，确定设置参数。</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⑦轻按Run键，仪器开始运行。仪器达到指定转速后，设定时间开始倒计时。</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⑧轻按Stop键，可提前手动结束离心。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注意：若在运行中，直接按下手动开锁键，离心机开盖，自动停转，显示屏出现Err5，关上盖子恢复原运行状态。</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⑨离心结束后，按下手动门盖锁，取出离心管，关好门盖，将电源关闭即可。</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72" w:name="_Toc16596"/>
      <w:r>
        <w:rPr>
          <w:rFonts w:hint="eastAsia" w:ascii="宋体" w:hAnsi="宋体" w:eastAsia="宋体" w:cs="宋体"/>
          <w:b/>
          <w:bCs/>
          <w:sz w:val="24"/>
          <w:szCs w:val="24"/>
          <w:lang w:val="en-US" w:eastAsia="zh-CN"/>
        </w:rPr>
        <w:t>七、维护保养</w:t>
      </w:r>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eastAsia="zh-CN"/>
        </w:rPr>
      </w:pPr>
      <w:bookmarkStart w:id="73" w:name="_Toc19170"/>
      <w:bookmarkStart w:id="74" w:name="_Toc6940"/>
      <w:bookmarkStart w:id="75" w:name="_Toc4902"/>
      <w:bookmarkStart w:id="76" w:name="_Toc14421"/>
      <w:bookmarkStart w:id="77" w:name="_Toc6278"/>
      <w:bookmarkStart w:id="78" w:name="_Toc320"/>
      <w:r>
        <w:rPr>
          <w:rFonts w:hint="eastAsia" w:asciiTheme="minorEastAsia" w:hAnsiTheme="minorEastAsia" w:eastAsiaTheme="minorEastAsia" w:cstheme="minorEastAsia"/>
          <w:sz w:val="24"/>
          <w:szCs w:val="24"/>
        </w:rPr>
        <w:t>1、离心机必须严格按照使用说明书操作，每次使用前后要保证仪器内外的干燥及卫生</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2、离心机使用后离心腔内及时用中性洗涤剂清洁并用软布擦干，不允许用非中性清洁剂擦洗转子，防止腐蚀内腔</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3、清洁驱动轴后定期给驱动轴涂防锈油润滑脂</w:t>
      </w:r>
      <w:r>
        <w:rPr>
          <w:rFonts w:hint="eastAsia" w:asciiTheme="minorEastAsia" w:hAnsi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4、定期检查门盖铰链、安装螺钉和按键、旋钮等部件</w:t>
      </w:r>
      <w:r>
        <w:rPr>
          <w:rFonts w:hint="eastAsia" w:asciiTheme="minorEastAsia" w:hAnsi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、离心机应存放在室内，地面应平整性好，空气</w:t>
      </w:r>
      <w:r>
        <w:rPr>
          <w:rFonts w:hint="eastAsia" w:asciiTheme="minorEastAsia" w:hAnsiTheme="minorEastAsia" w:eastAsiaTheme="minorEastAsia" w:cstheme="minorEastAsia"/>
          <w:sz w:val="24"/>
          <w:szCs w:val="24"/>
          <w:lang w:val="en-US" w:eastAsia="zh-CN"/>
        </w:rPr>
        <w:t>中</w:t>
      </w:r>
      <w:r>
        <w:rPr>
          <w:rFonts w:hint="eastAsia" w:asciiTheme="minorEastAsia" w:hAnsiTheme="minorEastAsia" w:eastAsiaTheme="minorEastAsia" w:cstheme="minorEastAsia"/>
          <w:sz w:val="24"/>
          <w:szCs w:val="24"/>
        </w:rPr>
        <w:t>无导电尘埃，无腐蚀性或破坏绝缘的气体，并且附近没有其它较强振动源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场地具有通风装置、排水装置，以提高整机寿命。</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79" w:name="_Toc10522"/>
      <w:r>
        <w:rPr>
          <w:rFonts w:hint="eastAsia" w:ascii="宋体" w:hAnsi="宋体" w:eastAsia="宋体" w:cs="宋体"/>
          <w:b/>
          <w:bCs/>
          <w:sz w:val="24"/>
          <w:szCs w:val="24"/>
          <w:lang w:val="en-US" w:eastAsia="zh-CN"/>
        </w:rPr>
        <w:t>八、故障分析</w:t>
      </w:r>
      <w:bookmarkEnd w:id="73"/>
      <w:bookmarkEnd w:id="74"/>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本机设有故障显示窗口，当本机出现故障后，“速度”窗口将显示出Err1-Err5</w:t>
      </w:r>
      <w:r>
        <w:rPr>
          <w:rFonts w:hint="eastAsia" w:asciiTheme="minorEastAsia" w:hAnsiTheme="minorEastAsia" w:eastAsiaTheme="minorEastAsia" w:cstheme="minorEastAsia"/>
          <w:sz w:val="24"/>
          <w:szCs w:val="24"/>
          <w:lang w:eastAsia="zh-CN"/>
        </w:rPr>
        <w:t>：</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5315"/>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rPr>
              <w:t>故障</w:t>
            </w:r>
            <w:r>
              <w:rPr>
                <w:rFonts w:hint="eastAsia" w:asciiTheme="minorEastAsia" w:hAnsiTheme="minorEastAsia" w:eastAsiaTheme="minorEastAsia" w:cstheme="minorEastAsia"/>
                <w:b/>
                <w:bCs w:val="0"/>
                <w:color w:val="auto"/>
                <w:sz w:val="24"/>
                <w:szCs w:val="24"/>
                <w:lang w:val="en-US" w:eastAsia="zh-CN"/>
              </w:rPr>
              <w:t>现象</w:t>
            </w: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故障</w:t>
            </w:r>
            <w:r>
              <w:rPr>
                <w:rFonts w:hint="eastAsia" w:asciiTheme="minorEastAsia" w:hAnsiTheme="minorEastAsia" w:eastAsiaTheme="minorEastAsia" w:cstheme="minorEastAsia"/>
                <w:b/>
                <w:bCs w:val="0"/>
                <w:color w:val="auto"/>
                <w:sz w:val="24"/>
                <w:szCs w:val="24"/>
              </w:rPr>
              <w:t>原因</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故障处理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插上电源后显示屏不亮</w:t>
            </w: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无220V电源</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检查电源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保险丝熔断</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检查并更换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开机后振动大</w:t>
            </w: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转子内离心管未对称放置</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检查调整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离心管破裂</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检查及更换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转子未旋紧</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旋紧转子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减震部份损坏</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检查更换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显示屏出现</w:t>
            </w:r>
            <w:r>
              <w:rPr>
                <w:rFonts w:hint="eastAsia" w:asciiTheme="minorEastAsia" w:hAnsiTheme="minorEastAsia" w:eastAsiaTheme="minorEastAsia" w:cstheme="minorEastAsia"/>
                <w:sz w:val="24"/>
                <w:szCs w:val="24"/>
              </w:rPr>
              <w:t>Err1</w:t>
            </w: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过流故障标志位：电机电流&gt;6.5A</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断电重启，降低负载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显示屏出现</w:t>
            </w:r>
            <w:r>
              <w:rPr>
                <w:rFonts w:hint="eastAsia" w:asciiTheme="minorEastAsia" w:hAnsiTheme="minorEastAsia" w:eastAsiaTheme="minorEastAsia" w:cstheme="minorEastAsia"/>
                <w:sz w:val="24"/>
                <w:szCs w:val="24"/>
              </w:rPr>
              <w:t>Err</w:t>
            </w:r>
            <w:r>
              <w:rPr>
                <w:rFonts w:hint="eastAsia" w:asciiTheme="minorEastAsia" w:hAnsiTheme="minorEastAsia" w:eastAsiaTheme="minorEastAsia" w:cstheme="minorEastAsia"/>
                <w:sz w:val="24"/>
                <w:szCs w:val="24"/>
                <w:lang w:val="en-US" w:eastAsia="zh-CN"/>
              </w:rPr>
              <w:t>2</w:t>
            </w: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堵转故障标志位：电机堵转/电机未连接/检测不到霍尔</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断电，检查电机和霍尔，排除故障后重启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显示屏出现</w:t>
            </w:r>
            <w:r>
              <w:rPr>
                <w:rFonts w:hint="eastAsia" w:asciiTheme="minorEastAsia" w:hAnsiTheme="minorEastAsia" w:eastAsiaTheme="minorEastAsia" w:cstheme="minorEastAsia"/>
                <w:sz w:val="24"/>
                <w:szCs w:val="24"/>
              </w:rPr>
              <w:t>Err</w:t>
            </w:r>
            <w:r>
              <w:rPr>
                <w:rFonts w:hint="eastAsia" w:asciiTheme="minorEastAsia" w:hAnsiTheme="minorEastAsia" w:eastAsiaTheme="minorEastAsia" w:cstheme="minorEastAsia"/>
                <w:sz w:val="24"/>
                <w:szCs w:val="24"/>
                <w:lang w:val="en-US" w:eastAsia="zh-CN"/>
              </w:rPr>
              <w:t>3</w:t>
            </w: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不平衡故障标志位：需要外置常开平衡开关</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断电，排除故障后重启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显示屏出现</w:t>
            </w:r>
            <w:r>
              <w:rPr>
                <w:rFonts w:hint="eastAsia" w:asciiTheme="minorEastAsia" w:hAnsiTheme="minorEastAsia" w:eastAsiaTheme="minorEastAsia" w:cstheme="minorEastAsia"/>
                <w:sz w:val="24"/>
                <w:szCs w:val="24"/>
              </w:rPr>
              <w:t>Err</w:t>
            </w:r>
            <w:r>
              <w:rPr>
                <w:rFonts w:hint="eastAsia" w:asciiTheme="minorEastAsia" w:hAnsiTheme="minorEastAsia" w:eastAsiaTheme="minorEastAsia" w:cstheme="minorEastAsia"/>
                <w:sz w:val="24"/>
                <w:szCs w:val="24"/>
                <w:lang w:val="en-US" w:eastAsia="zh-CN"/>
              </w:rPr>
              <w:t>4</w:t>
            </w: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过温故障标志位：需要外置常开温度开关</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断电，排除故障后重启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显示屏出现</w:t>
            </w:r>
            <w:r>
              <w:rPr>
                <w:rFonts w:hint="eastAsia" w:asciiTheme="minorEastAsia" w:hAnsiTheme="minorEastAsia" w:eastAsiaTheme="minorEastAsia" w:cstheme="minorEastAsia"/>
                <w:sz w:val="24"/>
                <w:szCs w:val="24"/>
              </w:rPr>
              <w:t>Err</w:t>
            </w:r>
            <w:r>
              <w:rPr>
                <w:rFonts w:hint="eastAsia" w:asciiTheme="minorEastAsia" w:hAnsiTheme="minorEastAsia" w:eastAsiaTheme="minorEastAsia" w:cstheme="minorEastAsia"/>
                <w:sz w:val="24"/>
                <w:szCs w:val="24"/>
                <w:lang w:val="en-US" w:eastAsia="zh-CN"/>
              </w:rPr>
              <w:t>5</w:t>
            </w:r>
          </w:p>
        </w:tc>
        <w:tc>
          <w:tcPr>
            <w:tcW w:w="266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运行开盖故障标志位：运行过程中打开盖子</w:t>
            </w:r>
          </w:p>
        </w:tc>
        <w:tc>
          <w:tcPr>
            <w:tcW w:w="132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关闭盖子，消除故障</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80" w:name="_Toc3140"/>
      <w:bookmarkStart w:id="81" w:name="_Toc7690"/>
      <w:bookmarkStart w:id="82" w:name="_Toc1762"/>
      <w:bookmarkStart w:id="83" w:name="_Toc21717"/>
      <w:bookmarkStart w:id="84" w:name="_Toc21945"/>
      <w:bookmarkStart w:id="85" w:name="_Toc26283"/>
      <w:bookmarkStart w:id="86" w:name="_Toc2372"/>
      <w:bookmarkStart w:id="87" w:name="_Toc2199"/>
      <w:r>
        <w:rPr>
          <w:rFonts w:hint="eastAsia" w:ascii="宋体" w:hAnsi="宋体" w:eastAsia="宋体" w:cs="宋体"/>
          <w:b/>
          <w:bCs/>
          <w:sz w:val="24"/>
          <w:szCs w:val="24"/>
          <w:lang w:val="en-US" w:eastAsia="zh-CN"/>
        </w:rPr>
        <w:t>九、保修声明</w:t>
      </w:r>
      <w:bookmarkEnd w:id="80"/>
      <w:bookmarkEnd w:id="81"/>
      <w:bookmarkEnd w:id="82"/>
      <w:bookmarkEnd w:id="83"/>
      <w:bookmarkEnd w:id="84"/>
      <w:bookmarkEnd w:id="85"/>
      <w:bookmarkEnd w:id="86"/>
      <w:bookmarkEnd w:id="87"/>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本公司产品保修期一年（从产品售出日起）。保修期内，用户可凭保修卡、商业发票对质量有问题的产品实行更换或免费维修。属下列情况之一除外：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1、保修期已过；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2、因用户自己的过失而造成仪器的损坏；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3、用户未按说明书规定操作而造成仪器损坏；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4、由于仪器暴露在具有放射性或腐蚀性物质的环境中造成仪器损坏；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5、用户擅自拆开仪器或非经本公司认可的维修人员修理、调试而造成仪器的损坏。</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88" w:name="_Toc3014"/>
      <w:bookmarkStart w:id="89" w:name="_Toc30265"/>
      <w:bookmarkStart w:id="90" w:name="_Toc11936"/>
      <w:bookmarkStart w:id="91" w:name="_Toc16379"/>
      <w:bookmarkStart w:id="92" w:name="_Toc16802"/>
      <w:bookmarkStart w:id="93" w:name="_Toc23954"/>
      <w:bookmarkStart w:id="94" w:name="_Toc14991"/>
      <w:bookmarkStart w:id="95" w:name="_Toc25198"/>
      <w:r>
        <w:rPr>
          <w:rFonts w:hint="eastAsia" w:ascii="宋体" w:hAnsi="宋体" w:eastAsia="宋体" w:cs="宋体"/>
          <w:b/>
          <w:bCs/>
          <w:sz w:val="24"/>
          <w:szCs w:val="24"/>
          <w:lang w:val="en-US" w:eastAsia="zh-CN"/>
        </w:rPr>
        <w:t>十、开箱检查</w:t>
      </w:r>
      <w:bookmarkEnd w:id="88"/>
      <w:bookmarkEnd w:id="89"/>
      <w:bookmarkEnd w:id="90"/>
      <w:bookmarkEnd w:id="91"/>
      <w:bookmarkEnd w:id="92"/>
      <w:bookmarkEnd w:id="93"/>
      <w:bookmarkEnd w:id="94"/>
      <w:bookmarkEnd w:id="95"/>
    </w:p>
    <w:p>
      <w:pPr>
        <w:keepNext w:val="0"/>
        <w:keepLines w:val="0"/>
        <w:pageBreakBefore w:val="0"/>
        <w:numPr>
          <w:ilvl w:val="0"/>
          <w:numId w:val="0"/>
        </w:numPr>
        <w:kinsoku/>
        <w:wordWrap/>
        <w:overflowPunct/>
        <w:topLinePunct w:val="0"/>
        <w:autoSpaceDN/>
        <w:bidi w:val="0"/>
        <w:adjustRightInd/>
        <w:snapToGrid/>
        <w:spacing w:line="288" w:lineRule="auto"/>
        <w:ind w:firstLine="480" w:firstLineChars="200"/>
        <w:outlineLvl w:val="9"/>
        <w:rPr>
          <w:rFonts w:hint="eastAsia" w:ascii="宋体" w:hAnsi="宋体" w:eastAsia="宋体" w:cs="宋体"/>
          <w:color w:val="auto"/>
          <w:sz w:val="24"/>
          <w:szCs w:val="24"/>
          <w:lang w:val="en-US" w:eastAsia="zh-CN"/>
        </w:rPr>
      </w:pPr>
      <w:bookmarkStart w:id="96" w:name="_Toc17931"/>
      <w:bookmarkStart w:id="97" w:name="_Toc3492"/>
      <w:bookmarkStart w:id="98" w:name="_Toc4053"/>
      <w:bookmarkStart w:id="99" w:name="_Toc24600"/>
      <w:r>
        <w:rPr>
          <w:rFonts w:hint="eastAsia" w:ascii="宋体" w:hAnsi="宋体" w:eastAsia="宋体" w:cs="宋体"/>
          <w:color w:val="auto"/>
          <w:sz w:val="24"/>
          <w:szCs w:val="24"/>
          <w:lang w:val="en-US" w:eastAsia="zh-CN"/>
        </w:rPr>
        <w:t>请小心拆开包装，并对照本说明书附录装箱单，对仪器各部件进行清点、检查。如发现有任何破损，请及时联系我司。</w:t>
      </w:r>
      <w:bookmarkEnd w:id="96"/>
      <w:bookmarkEnd w:id="97"/>
      <w:bookmarkEnd w:id="98"/>
      <w:bookmarkEnd w:id="99"/>
      <w:bookmarkStart w:id="100" w:name="_Toc6116"/>
    </w:p>
    <w:p>
      <w:pPr>
        <w:keepNext w:val="0"/>
        <w:keepLines w:val="0"/>
        <w:pageBreakBefore w:val="0"/>
        <w:numPr>
          <w:ilvl w:val="0"/>
          <w:numId w:val="0"/>
        </w:numPr>
        <w:kinsoku/>
        <w:wordWrap/>
        <w:overflowPunct/>
        <w:topLinePunct w:val="0"/>
        <w:autoSpaceDN/>
        <w:bidi w:val="0"/>
        <w:adjustRightInd/>
        <w:snapToGrid/>
        <w:spacing w:line="288" w:lineRule="auto"/>
        <w:ind w:firstLine="480" w:firstLineChars="200"/>
        <w:outlineLvl w:val="9"/>
        <w:rPr>
          <w:rFonts w:hint="eastAsia" w:ascii="宋体" w:hAnsi="宋体" w:eastAsia="宋体" w:cs="宋体"/>
          <w:color w:val="auto"/>
          <w:sz w:val="24"/>
          <w:szCs w:val="24"/>
          <w:lang w:val="en-US" w:eastAsia="zh-CN"/>
        </w:rPr>
      </w:pPr>
    </w:p>
    <w:p>
      <w:pPr>
        <w:keepNext w:val="0"/>
        <w:keepLines w:val="0"/>
        <w:pageBreakBefore w:val="0"/>
        <w:numPr>
          <w:ilvl w:val="0"/>
          <w:numId w:val="0"/>
        </w:numPr>
        <w:kinsoku/>
        <w:wordWrap/>
        <w:overflowPunct/>
        <w:topLinePunct w:val="0"/>
        <w:autoSpaceDN/>
        <w:bidi w:val="0"/>
        <w:adjustRightInd/>
        <w:snapToGrid/>
        <w:spacing w:line="288" w:lineRule="auto"/>
        <w:ind w:firstLine="480" w:firstLineChars="200"/>
        <w:outlineLvl w:val="9"/>
        <w:rPr>
          <w:rFonts w:hint="eastAsia" w:ascii="宋体" w:hAnsi="宋体" w:eastAsia="宋体" w:cs="宋体"/>
          <w:color w:val="auto"/>
          <w:sz w:val="24"/>
          <w:szCs w:val="24"/>
          <w:lang w:val="en-US" w:eastAsia="zh-CN"/>
        </w:rPr>
      </w:pPr>
    </w:p>
    <w:p>
      <w:pPr>
        <w:keepNext w:val="0"/>
        <w:keepLines w:val="0"/>
        <w:pageBreakBefore w:val="0"/>
        <w:numPr>
          <w:ilvl w:val="0"/>
          <w:numId w:val="0"/>
        </w:numPr>
        <w:kinsoku/>
        <w:wordWrap/>
        <w:overflowPunct/>
        <w:topLinePunct w:val="0"/>
        <w:autoSpaceDN/>
        <w:bidi w:val="0"/>
        <w:adjustRightInd/>
        <w:snapToGrid/>
        <w:spacing w:line="288" w:lineRule="auto"/>
        <w:ind w:firstLine="480" w:firstLineChars="200"/>
        <w:outlineLvl w:val="9"/>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101" w:name="_Toc23407"/>
      <w:bookmarkStart w:id="102" w:name="_Toc24019"/>
      <w:bookmarkStart w:id="103" w:name="_Toc9937"/>
      <w:bookmarkStart w:id="104" w:name="_Toc11627"/>
      <w:bookmarkStart w:id="105" w:name="_Toc22377"/>
      <w:bookmarkStart w:id="106" w:name="_Toc27576"/>
      <w:bookmarkStart w:id="107" w:name="_Toc22172"/>
      <w:r>
        <w:rPr>
          <w:rFonts w:hint="eastAsia" w:ascii="宋体" w:hAnsi="宋体" w:eastAsia="宋体" w:cs="宋体"/>
          <w:b/>
          <w:bCs/>
          <w:sz w:val="24"/>
          <w:szCs w:val="24"/>
          <w:lang w:val="en-US" w:eastAsia="zh-CN"/>
        </w:rPr>
        <w:t>十一、装箱清单</w:t>
      </w:r>
      <w:bookmarkEnd w:id="100"/>
      <w:bookmarkEnd w:id="101"/>
      <w:bookmarkEnd w:id="102"/>
      <w:bookmarkEnd w:id="103"/>
      <w:bookmarkEnd w:id="104"/>
      <w:bookmarkEnd w:id="105"/>
      <w:bookmarkEnd w:id="106"/>
      <w:bookmarkEnd w:id="107"/>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3299"/>
        <w:gridCol w:w="2055"/>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691"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名称</w:t>
            </w:r>
          </w:p>
        </w:tc>
        <w:tc>
          <w:tcPr>
            <w:tcW w:w="12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691"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主机</w:t>
            </w:r>
          </w:p>
        </w:tc>
        <w:tc>
          <w:tcPr>
            <w:tcW w:w="12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691"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电源线</w:t>
            </w:r>
          </w:p>
        </w:tc>
        <w:tc>
          <w:tcPr>
            <w:tcW w:w="12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6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24×10m</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L</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试管+管套+角转子</w:t>
            </w:r>
          </w:p>
        </w:tc>
        <w:tc>
          <w:tcPr>
            <w:tcW w:w="1033"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4选1或者多选</w:t>
            </w:r>
          </w:p>
        </w:tc>
        <w:tc>
          <w:tcPr>
            <w:tcW w:w="1250"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16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12×15m</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L</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试管+管套+角转子</w:t>
            </w:r>
          </w:p>
        </w:tc>
        <w:tc>
          <w:tcPr>
            <w:tcW w:w="103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1250"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16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6×50m</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L</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试管+管套+角转子</w:t>
            </w:r>
          </w:p>
        </w:tc>
        <w:tc>
          <w:tcPr>
            <w:tcW w:w="103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1250"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16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4×100m</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L</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试管+管套+角转子</w:t>
            </w:r>
          </w:p>
        </w:tc>
        <w:tc>
          <w:tcPr>
            <w:tcW w:w="103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1250"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691"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说明书</w:t>
            </w:r>
          </w:p>
        </w:tc>
        <w:tc>
          <w:tcPr>
            <w:tcW w:w="12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691"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合格证/保修卡</w:t>
            </w:r>
          </w:p>
        </w:tc>
        <w:tc>
          <w:tcPr>
            <w:tcW w:w="12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1份</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88" w:lineRule="auto"/>
        <w:textAlignment w:val="auto"/>
        <w:outlineLvl w:val="0"/>
        <w:rPr>
          <w:rFonts w:hint="eastAsia" w:ascii="宋体" w:hAnsi="宋体" w:eastAsia="宋体" w:cs="宋体"/>
          <w:b/>
          <w:bCs/>
          <w:sz w:val="24"/>
          <w:szCs w:val="24"/>
          <w:lang w:val="en-US" w:eastAsia="zh-CN"/>
        </w:rPr>
      </w:pPr>
      <w:bookmarkStart w:id="108" w:name="_Toc26200"/>
      <w:r>
        <w:rPr>
          <w:rFonts w:hint="eastAsia" w:ascii="宋体" w:hAnsi="宋体" w:eastAsia="宋体" w:cs="宋体"/>
          <w:b/>
          <w:bCs/>
          <w:sz w:val="24"/>
          <w:szCs w:val="24"/>
          <w:lang w:val="en-US" w:eastAsia="zh-CN"/>
        </w:rPr>
        <w:t>十二、附录</w:t>
      </w:r>
      <w:bookmarkEnd w:id="108"/>
    </w:p>
    <w:p>
      <w:pPr>
        <w:keepNext w:val="0"/>
        <w:keepLines w:val="0"/>
        <w:pageBreakBefore w:val="0"/>
        <w:widowControl w:val="0"/>
        <w:kinsoku/>
        <w:wordWrap/>
        <w:overflowPunct/>
        <w:topLinePunct w:val="0"/>
        <w:autoSpaceDE/>
        <w:autoSpaceDN/>
        <w:bidi w:val="0"/>
        <w:adjustRightInd/>
        <w:snapToGrid/>
        <w:spacing w:line="288" w:lineRule="auto"/>
        <w:ind w:left="0"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关于离心管放置示意图的解释</w:t>
      </w:r>
    </w:p>
    <w:p>
      <w:pPr>
        <w:keepNext w:val="0"/>
        <w:keepLines w:val="0"/>
        <w:pageBreakBefore w:val="0"/>
        <w:widowControl w:val="0"/>
        <w:kinsoku/>
        <w:wordWrap/>
        <w:overflowPunct/>
        <w:topLinePunct w:val="0"/>
        <w:autoSpaceDE/>
        <w:autoSpaceDN/>
        <w:bidi w:val="0"/>
        <w:adjustRightInd/>
        <w:snapToGrid/>
        <w:spacing w:line="288" w:lineRule="auto"/>
        <w:ind w:lef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3859530" cy="1812290"/>
            <wp:effectExtent l="0" t="0" r="7620" b="1651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40"/>
                    <a:stretch>
                      <a:fillRect/>
                    </a:stretch>
                  </pic:blipFill>
                  <pic:spPr>
                    <a:xfrm>
                      <a:off x="0" y="0"/>
                      <a:ext cx="3859530" cy="18122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到图3为角转子的示意图，图4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到图6为水平转子的示意图</w:t>
      </w:r>
    </w:p>
    <w:p>
      <w:pPr>
        <w:pStyle w:val="18"/>
        <w:keepNext w:val="0"/>
        <w:keepLines w:val="0"/>
        <w:pageBreakBefore w:val="0"/>
        <w:widowControl w:val="0"/>
        <w:numPr>
          <w:ilvl w:val="0"/>
          <w:numId w:val="9"/>
        </w:numPr>
        <w:kinsoku/>
        <w:wordWrap/>
        <w:overflowPunct/>
        <w:topLinePunct w:val="0"/>
        <w:autoSpaceDE/>
        <w:autoSpaceDN/>
        <w:bidi w:val="0"/>
        <w:adjustRightInd/>
        <w:snapToGrid/>
        <w:spacing w:line="288" w:lineRule="auto"/>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图1是正常的6孔离心管放满转子的状态，转子正常的6点平衡受力</w:t>
      </w:r>
      <w:r>
        <w:rPr>
          <w:rFonts w:hint="eastAsia" w:asciiTheme="minorEastAsia" w:hAnsiTheme="minorEastAsia" w:eastAsiaTheme="minorEastAsia" w:cstheme="minorEastAsia"/>
          <w:sz w:val="24"/>
          <w:szCs w:val="24"/>
          <w:lang w:eastAsia="zh-CN"/>
        </w:rPr>
        <w:t>；</w:t>
      </w:r>
    </w:p>
    <w:p>
      <w:pPr>
        <w:pStyle w:val="18"/>
        <w:keepNext w:val="0"/>
        <w:keepLines w:val="0"/>
        <w:pageBreakBefore w:val="0"/>
        <w:widowControl w:val="0"/>
        <w:numPr>
          <w:ilvl w:val="0"/>
          <w:numId w:val="9"/>
        </w:numPr>
        <w:kinsoku/>
        <w:wordWrap/>
        <w:overflowPunct/>
        <w:topLinePunct w:val="0"/>
        <w:autoSpaceDE/>
        <w:autoSpaceDN/>
        <w:bidi w:val="0"/>
        <w:adjustRightInd/>
        <w:snapToGrid/>
        <w:spacing w:line="288" w:lineRule="auto"/>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图2为样品不多时，3点平衡的放置方式；</w:t>
      </w:r>
    </w:p>
    <w:p>
      <w:pPr>
        <w:pStyle w:val="18"/>
        <w:keepNext w:val="0"/>
        <w:keepLines w:val="0"/>
        <w:pageBreakBefore w:val="0"/>
        <w:widowControl w:val="0"/>
        <w:numPr>
          <w:ilvl w:val="0"/>
          <w:numId w:val="9"/>
        </w:numPr>
        <w:kinsoku/>
        <w:wordWrap/>
        <w:overflowPunct/>
        <w:topLinePunct w:val="0"/>
        <w:autoSpaceDE/>
        <w:autoSpaceDN/>
        <w:bidi w:val="0"/>
        <w:adjustRightInd/>
        <w:snapToGrid/>
        <w:spacing w:line="288" w:lineRule="auto"/>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图3为放置</w:t>
      </w:r>
      <w:r>
        <w:rPr>
          <w:rFonts w:hint="eastAsia" w:asciiTheme="minorEastAsia" w:hAnsiTheme="minorEastAsia" w:eastAsiaTheme="minorEastAsia" w:cstheme="minorEastAsia"/>
          <w:sz w:val="24"/>
          <w:szCs w:val="24"/>
          <w:lang w:eastAsia="zh-CN"/>
        </w:rPr>
        <w:t>两支试管</w:t>
      </w:r>
      <w:r>
        <w:rPr>
          <w:rFonts w:hint="eastAsia" w:asciiTheme="minorEastAsia" w:hAnsiTheme="minorEastAsia" w:eastAsiaTheme="minorEastAsia" w:cstheme="minorEastAsia"/>
          <w:sz w:val="24"/>
          <w:szCs w:val="24"/>
        </w:rPr>
        <w:t>时，虽为2点平衡受力，但是在高速运行中，在旋转的共振点区间，会产生较大的不平衡共振点；</w:t>
      </w:r>
    </w:p>
    <w:p>
      <w:pPr>
        <w:pStyle w:val="18"/>
        <w:keepNext w:val="0"/>
        <w:keepLines w:val="0"/>
        <w:pageBreakBefore w:val="0"/>
        <w:widowControl w:val="0"/>
        <w:numPr>
          <w:ilvl w:val="0"/>
          <w:numId w:val="9"/>
        </w:numPr>
        <w:kinsoku/>
        <w:wordWrap/>
        <w:overflowPunct/>
        <w:topLinePunct w:val="0"/>
        <w:autoSpaceDE/>
        <w:autoSpaceDN/>
        <w:bidi w:val="0"/>
        <w:adjustRightInd/>
        <w:snapToGrid/>
        <w:spacing w:line="288" w:lineRule="auto"/>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图4为水平转子试管放置示意图，离心管放满转子的状态，转子正常的对称4点平衡受力；</w:t>
      </w:r>
    </w:p>
    <w:p>
      <w:pPr>
        <w:pStyle w:val="18"/>
        <w:keepNext w:val="0"/>
        <w:keepLines w:val="0"/>
        <w:pageBreakBefore w:val="0"/>
        <w:widowControl w:val="0"/>
        <w:numPr>
          <w:ilvl w:val="0"/>
          <w:numId w:val="9"/>
        </w:numPr>
        <w:kinsoku/>
        <w:wordWrap/>
        <w:overflowPunct/>
        <w:topLinePunct w:val="0"/>
        <w:autoSpaceDE/>
        <w:autoSpaceDN/>
        <w:bidi w:val="0"/>
        <w:adjustRightInd/>
        <w:snapToGrid/>
        <w:spacing w:line="288" w:lineRule="auto"/>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图5未遵循点对称原则，这种放置方式仪器在共振区振动将会增大；</w:t>
      </w:r>
    </w:p>
    <w:p>
      <w:pPr>
        <w:pStyle w:val="18"/>
        <w:keepNext w:val="0"/>
        <w:keepLines w:val="0"/>
        <w:pageBreakBefore w:val="0"/>
        <w:widowControl w:val="0"/>
        <w:numPr>
          <w:ilvl w:val="0"/>
          <w:numId w:val="9"/>
        </w:numPr>
        <w:kinsoku/>
        <w:wordWrap/>
        <w:overflowPunct/>
        <w:topLinePunct w:val="0"/>
        <w:autoSpaceDE/>
        <w:autoSpaceDN/>
        <w:bidi w:val="0"/>
        <w:adjustRightInd/>
        <w:snapToGrid/>
        <w:spacing w:line="288" w:lineRule="auto"/>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6为水平转子单独两挂放置的示意图，由于水平转子通常半径大，转子产生的不平衡量会更大，长期在这样的工况下使用，驱动电机轴承磨损将比正常情况下更严重。一般设计对称两点的水平转子半径都是较小；</w:t>
      </w:r>
    </w:p>
    <w:p>
      <w:pPr>
        <w:keepNext w:val="0"/>
        <w:keepLines w:val="0"/>
        <w:pageBreakBefore w:val="0"/>
        <w:widowControl w:val="0"/>
        <w:kinsoku/>
        <w:wordWrap/>
        <w:overflowPunct/>
        <w:topLinePunct w:val="0"/>
        <w:autoSpaceDE/>
        <w:autoSpaceDN/>
        <w:bidi w:val="0"/>
        <w:adjustRightInd/>
        <w:snapToGrid/>
        <w:spacing w:line="288" w:lineRule="auto"/>
        <w:ind w:left="0" w:firstLine="0" w:firstLineChars="0"/>
        <w:textAlignment w:val="auto"/>
        <w:rPr>
          <w:rFonts w:hint="eastAsia" w:ascii="宋体" w:hAnsi="宋体" w:cs="宋体" w:eastAsiaTheme="minorEastAsia"/>
          <w:b w:val="0"/>
          <w:bCs w:val="0"/>
          <w:sz w:val="24"/>
          <w:szCs w:val="24"/>
          <w:lang w:eastAsia="zh-CN"/>
        </w:rPr>
      </w:pPr>
      <w:r>
        <w:rPr>
          <w:rFonts w:hint="eastAsia" w:asciiTheme="minorEastAsia" w:hAnsiTheme="minorEastAsia" w:eastAsiaTheme="minorEastAsia" w:cstheme="minorEastAsia"/>
          <w:sz w:val="24"/>
          <w:szCs w:val="24"/>
        </w:rPr>
        <w:t>离心机是高速旋转的仪器，在使用过程中，由于电机的减震吸收，我们表面无法感知机器内部的振动传递，我们作为专业的离心机厂家，需要模拟用户的各种使用状态，通过总结出来的各种数据设计，才能让产品长期处于良好的使用状态，作为一个负责任的企业，我们有义务告知客户离心机在使用中的小细节</w:t>
      </w:r>
      <w:r>
        <w:rPr>
          <w:rFonts w:hint="eastAsia" w:asciiTheme="minorEastAsia" w:hAnsiTheme="minorEastAsia" w:cstheme="minorEastAsia"/>
          <w:sz w:val="24"/>
          <w:szCs w:val="24"/>
          <w:lang w:eastAsia="zh-CN"/>
        </w:rPr>
        <w:t>。</w:t>
      </w:r>
    </w:p>
    <w:sectPr>
      <w:headerReference r:id="rId29" w:type="first"/>
      <w:footerReference r:id="rId32" w:type="first"/>
      <w:headerReference r:id="rId27" w:type="default"/>
      <w:footerReference r:id="rId30" w:type="default"/>
      <w:headerReference r:id="rId28" w:type="even"/>
      <w:footerReference r:id="rId31" w:type="even"/>
      <w:type w:val="continuous"/>
      <w:pgSz w:w="11906" w:h="16838"/>
      <w:pgMar w:top="1440" w:right="1080" w:bottom="1440" w:left="108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经典黑体简">
    <w:altName w:val="黑体"/>
    <w:panose1 w:val="00000000000000000000"/>
    <w:charset w:val="86"/>
    <w:family w:val="modern"/>
    <w:pitch w:val="default"/>
    <w:sig w:usb0="00000000" w:usb1="00000000" w:usb2="0000001E"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Theme="minorEastAsia"/>
                        <w:lang w:eastAsia="zh-CN"/>
                      </w:rPr>
                    </w:pP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drawing>
        <wp:inline distT="0" distB="0" distL="114300" distR="114300">
          <wp:extent cx="1054735" cy="227965"/>
          <wp:effectExtent l="0" t="0" r="12065" b="635"/>
          <wp:docPr id="13" name="图片 13" descr="SUNNE白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UNNE白色"/>
                  <pic:cNvPicPr>
                    <a:picLocks noChangeAspect="1"/>
                  </pic:cNvPicPr>
                </pic:nvPicPr>
                <pic:blipFill>
                  <a:blip r:embed="rId1"/>
                  <a:stretch>
                    <a:fillRect/>
                  </a:stretch>
                </pic:blipFill>
                <pic:spPr>
                  <a:xfrm>
                    <a:off x="0" y="0"/>
                    <a:ext cx="1054735" cy="227965"/>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rPr>
        <w:rFonts w:hint="eastAsia" w:eastAsiaTheme="minorEastAsia"/>
        <w:lang w:eastAsia="zh-CN"/>
      </w:rPr>
    </w:pPr>
    <w:r>
      <w:rPr>
        <w:rFonts w:hint="eastAsia" w:eastAsiaTheme="minorEastAsia"/>
        <w:lang w:eastAsia="zh-CN"/>
      </w:rPr>
      <w:drawing>
        <wp:inline distT="0" distB="0" distL="114300" distR="114300">
          <wp:extent cx="1093470" cy="210185"/>
          <wp:effectExtent l="0" t="0" r="11430" b="18415"/>
          <wp:docPr id="2" name="图片 2" descr="SU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NNE"/>
                  <pic:cNvPicPr>
                    <a:picLocks noChangeAspect="1"/>
                  </pic:cNvPicPr>
                </pic:nvPicPr>
                <pic:blipFill>
                  <a:blip r:embed="rId1"/>
                  <a:stretch>
                    <a:fillRect/>
                  </a:stretch>
                </pic:blipFill>
                <pic:spPr>
                  <a:xfrm>
                    <a:off x="0" y="0"/>
                    <a:ext cx="1093470" cy="21018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pPr>
    <w:r>
      <w:rPr>
        <w:rFonts w:hint="eastAsia" w:eastAsiaTheme="minorEastAsia"/>
        <w:lang w:eastAsia="zh-CN"/>
      </w:rPr>
      <w:drawing>
        <wp:inline distT="0" distB="0" distL="114300" distR="114300">
          <wp:extent cx="1093470" cy="210185"/>
          <wp:effectExtent l="0" t="0" r="11430" b="18415"/>
          <wp:docPr id="5" name="图片 5" descr="SU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UNNE"/>
                  <pic:cNvPicPr>
                    <a:picLocks noChangeAspect="1"/>
                  </pic:cNvPicPr>
                </pic:nvPicPr>
                <pic:blipFill>
                  <a:blip r:embed="rId1"/>
                  <a:stretch>
                    <a:fillRect/>
                  </a:stretch>
                </pic:blipFill>
                <pic:spPr>
                  <a:xfrm>
                    <a:off x="0" y="0"/>
                    <a:ext cx="1093470" cy="21018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eastAsiaTheme="minorEastAsia"/>
        <w:lang w:eastAsia="zh-CN"/>
      </w:rPr>
      <w:drawing>
        <wp:inline distT="0" distB="0" distL="114300" distR="114300">
          <wp:extent cx="1093470" cy="210185"/>
          <wp:effectExtent l="0" t="0" r="11430" b="18415"/>
          <wp:docPr id="38" name="图片 38" descr="SU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SUNNE"/>
                  <pic:cNvPicPr>
                    <a:picLocks noChangeAspect="1"/>
                  </pic:cNvPicPr>
                </pic:nvPicPr>
                <pic:blipFill>
                  <a:blip r:embed="rId1"/>
                  <a:stretch>
                    <a:fillRect/>
                  </a:stretch>
                </pic:blipFill>
                <pic:spPr>
                  <a:xfrm>
                    <a:off x="0" y="0"/>
                    <a:ext cx="1093470" cy="210185"/>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left"/>
    </w:pPr>
    <w:r>
      <w:rPr>
        <w:rFonts w:hint="eastAsia" w:eastAsiaTheme="minorEastAsia"/>
        <w:lang w:eastAsia="zh-CN"/>
      </w:rPr>
      <w:drawing>
        <wp:inline distT="0" distB="0" distL="114300" distR="114300">
          <wp:extent cx="1093470" cy="210185"/>
          <wp:effectExtent l="0" t="0" r="11430" b="18415"/>
          <wp:docPr id="3" name="图片 3" descr="SU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UNNE"/>
                  <pic:cNvPicPr>
                    <a:picLocks noChangeAspect="1"/>
                  </pic:cNvPicPr>
                </pic:nvPicPr>
                <pic:blipFill>
                  <a:blip r:embed="rId1"/>
                  <a:stretch>
                    <a:fillRect/>
                  </a:stretch>
                </pic:blipFill>
                <pic:spPr>
                  <a:xfrm>
                    <a:off x="0" y="0"/>
                    <a:ext cx="1093470" cy="210185"/>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A5604"/>
    <w:multiLevelType w:val="singleLevel"/>
    <w:tmpl w:val="87BA5604"/>
    <w:lvl w:ilvl="0" w:tentative="0">
      <w:start w:val="1"/>
      <w:numFmt w:val="decimal"/>
      <w:suff w:val="nothing"/>
      <w:lvlText w:val="%1、"/>
      <w:lvlJc w:val="left"/>
    </w:lvl>
  </w:abstractNum>
  <w:abstractNum w:abstractNumId="1">
    <w:nsid w:val="9C05DDB3"/>
    <w:multiLevelType w:val="singleLevel"/>
    <w:tmpl w:val="9C05DDB3"/>
    <w:lvl w:ilvl="0" w:tentative="0">
      <w:start w:val="1"/>
      <w:numFmt w:val="decimal"/>
      <w:suff w:val="nothing"/>
      <w:lvlText w:val="%1、"/>
      <w:lvlJc w:val="left"/>
    </w:lvl>
  </w:abstractNum>
  <w:abstractNum w:abstractNumId="2">
    <w:nsid w:val="AC05FC8C"/>
    <w:multiLevelType w:val="singleLevel"/>
    <w:tmpl w:val="AC05FC8C"/>
    <w:lvl w:ilvl="0" w:tentative="0">
      <w:start w:val="1"/>
      <w:numFmt w:val="decimal"/>
      <w:suff w:val="nothing"/>
      <w:lvlText w:val="（%1）"/>
      <w:lvlJc w:val="left"/>
    </w:lvl>
  </w:abstractNum>
  <w:abstractNum w:abstractNumId="3">
    <w:nsid w:val="B689EC0E"/>
    <w:multiLevelType w:val="singleLevel"/>
    <w:tmpl w:val="B689EC0E"/>
    <w:lvl w:ilvl="0" w:tentative="0">
      <w:start w:val="1"/>
      <w:numFmt w:val="decimal"/>
      <w:suff w:val="nothing"/>
      <w:lvlText w:val="%1、"/>
      <w:lvlJc w:val="left"/>
    </w:lvl>
  </w:abstractNum>
  <w:abstractNum w:abstractNumId="4">
    <w:nsid w:val="6026EE91"/>
    <w:multiLevelType w:val="singleLevel"/>
    <w:tmpl w:val="6026EE91"/>
    <w:lvl w:ilvl="0" w:tentative="0">
      <w:start w:val="1"/>
      <w:numFmt w:val="decimal"/>
      <w:lvlText w:val="(%1)"/>
      <w:lvlJc w:val="left"/>
      <w:pPr>
        <w:tabs>
          <w:tab w:val="left" w:pos="312"/>
        </w:tabs>
      </w:pPr>
    </w:lvl>
  </w:abstractNum>
  <w:abstractNum w:abstractNumId="5">
    <w:nsid w:val="6366B7DB"/>
    <w:multiLevelType w:val="singleLevel"/>
    <w:tmpl w:val="6366B7DB"/>
    <w:lvl w:ilvl="0" w:tentative="0">
      <w:start w:val="1"/>
      <w:numFmt w:val="bullet"/>
      <w:lvlText w:val=""/>
      <w:lvlJc w:val="left"/>
      <w:pPr>
        <w:ind w:left="420" w:hanging="420"/>
      </w:pPr>
      <w:rPr>
        <w:rFonts w:hint="default" w:ascii="Wingdings" w:hAnsi="Wingdings"/>
      </w:rPr>
    </w:lvl>
  </w:abstractNum>
  <w:abstractNum w:abstractNumId="6">
    <w:nsid w:val="6E98DC3C"/>
    <w:multiLevelType w:val="singleLevel"/>
    <w:tmpl w:val="6E98DC3C"/>
    <w:lvl w:ilvl="0" w:tentative="0">
      <w:start w:val="1"/>
      <w:numFmt w:val="bullet"/>
      <w:lvlText w:val=""/>
      <w:lvlJc w:val="left"/>
      <w:pPr>
        <w:ind w:left="420" w:hanging="420"/>
      </w:pPr>
      <w:rPr>
        <w:rFonts w:hint="default" w:ascii="Wingdings" w:hAnsi="Wingdings"/>
      </w:rPr>
    </w:lvl>
  </w:abstractNum>
  <w:abstractNum w:abstractNumId="7">
    <w:nsid w:val="6F2B1EB6"/>
    <w:multiLevelType w:val="multilevel"/>
    <w:tmpl w:val="6F2B1E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F9E72B"/>
    <w:multiLevelType w:val="singleLevel"/>
    <w:tmpl w:val="77F9E72B"/>
    <w:lvl w:ilvl="0" w:tentative="0">
      <w:start w:val="4"/>
      <w:numFmt w:val="chineseCounting"/>
      <w:suff w:val="nothing"/>
      <w:lvlText w:val="%1、"/>
      <w:lvlJc w:val="left"/>
      <w:rPr>
        <w:rFonts w:hint="eastAsia"/>
      </w:rPr>
    </w:lvl>
  </w:abstractNum>
  <w:num w:numId="1">
    <w:abstractNumId w:val="6"/>
  </w:num>
  <w:num w:numId="2">
    <w:abstractNumId w:val="5"/>
  </w:num>
  <w:num w:numId="3">
    <w:abstractNumId w:val="1"/>
  </w:num>
  <w:num w:numId="4">
    <w:abstractNumId w:val="8"/>
  </w:num>
  <w:num w:numId="5">
    <w:abstractNumId w:val="0"/>
  </w:num>
  <w:num w:numId="6">
    <w:abstractNumId w:val="2"/>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OTBiYTY3ZmRjZmVkMTE3NGM1NzZjZDdiMGY3MWEifQ=="/>
  </w:docVars>
  <w:rsids>
    <w:rsidRoot w:val="1627656C"/>
    <w:rsid w:val="03DF1C5F"/>
    <w:rsid w:val="04EF060B"/>
    <w:rsid w:val="074B45E9"/>
    <w:rsid w:val="08295068"/>
    <w:rsid w:val="085944FF"/>
    <w:rsid w:val="09EF6FD9"/>
    <w:rsid w:val="0B847D1E"/>
    <w:rsid w:val="0BBF135B"/>
    <w:rsid w:val="0CD94733"/>
    <w:rsid w:val="0DF422DF"/>
    <w:rsid w:val="0EF755BC"/>
    <w:rsid w:val="13262C02"/>
    <w:rsid w:val="153418CE"/>
    <w:rsid w:val="15443106"/>
    <w:rsid w:val="1627656C"/>
    <w:rsid w:val="163D0BE5"/>
    <w:rsid w:val="186679C4"/>
    <w:rsid w:val="1C720920"/>
    <w:rsid w:val="1E131BA7"/>
    <w:rsid w:val="1E3247BD"/>
    <w:rsid w:val="1E7417C9"/>
    <w:rsid w:val="1FF5000D"/>
    <w:rsid w:val="206F7D0E"/>
    <w:rsid w:val="219D1C2D"/>
    <w:rsid w:val="229915E5"/>
    <w:rsid w:val="22FF310C"/>
    <w:rsid w:val="23BE2934"/>
    <w:rsid w:val="25931D45"/>
    <w:rsid w:val="270009C4"/>
    <w:rsid w:val="27347781"/>
    <w:rsid w:val="27C600EA"/>
    <w:rsid w:val="29F41EEE"/>
    <w:rsid w:val="2D011A00"/>
    <w:rsid w:val="2DAF26BA"/>
    <w:rsid w:val="2DBE094E"/>
    <w:rsid w:val="2E034A0D"/>
    <w:rsid w:val="2ED13D84"/>
    <w:rsid w:val="2EFD4662"/>
    <w:rsid w:val="2F05477A"/>
    <w:rsid w:val="301C1A96"/>
    <w:rsid w:val="318D150A"/>
    <w:rsid w:val="326C5D8D"/>
    <w:rsid w:val="334050D1"/>
    <w:rsid w:val="3414761D"/>
    <w:rsid w:val="342F791E"/>
    <w:rsid w:val="34B8709A"/>
    <w:rsid w:val="35CD7405"/>
    <w:rsid w:val="36592B87"/>
    <w:rsid w:val="37ED70CE"/>
    <w:rsid w:val="381D301C"/>
    <w:rsid w:val="38DD2698"/>
    <w:rsid w:val="3B743CD3"/>
    <w:rsid w:val="3CCC1B81"/>
    <w:rsid w:val="3F634AC1"/>
    <w:rsid w:val="426E0E6F"/>
    <w:rsid w:val="464E2F08"/>
    <w:rsid w:val="46A56D72"/>
    <w:rsid w:val="47546093"/>
    <w:rsid w:val="49E16AE9"/>
    <w:rsid w:val="4E455377"/>
    <w:rsid w:val="4EDE1DB8"/>
    <w:rsid w:val="516F021E"/>
    <w:rsid w:val="517464DF"/>
    <w:rsid w:val="52E16C06"/>
    <w:rsid w:val="531C24CA"/>
    <w:rsid w:val="54177809"/>
    <w:rsid w:val="565E6A58"/>
    <w:rsid w:val="598D671F"/>
    <w:rsid w:val="5A4B66E9"/>
    <w:rsid w:val="5BAE2CF9"/>
    <w:rsid w:val="5BF87ACE"/>
    <w:rsid w:val="5CC36A18"/>
    <w:rsid w:val="5F4428A6"/>
    <w:rsid w:val="6148214C"/>
    <w:rsid w:val="61CC1A7C"/>
    <w:rsid w:val="628A227C"/>
    <w:rsid w:val="63050931"/>
    <w:rsid w:val="64BA22F3"/>
    <w:rsid w:val="69523A2B"/>
    <w:rsid w:val="69C82914"/>
    <w:rsid w:val="6B4C2C20"/>
    <w:rsid w:val="6C835F15"/>
    <w:rsid w:val="6D8D082F"/>
    <w:rsid w:val="6E725AD8"/>
    <w:rsid w:val="6EA457A6"/>
    <w:rsid w:val="70441A66"/>
    <w:rsid w:val="7093748C"/>
    <w:rsid w:val="709D3277"/>
    <w:rsid w:val="75E87044"/>
    <w:rsid w:val="76892013"/>
    <w:rsid w:val="779073A5"/>
    <w:rsid w:val="78E27D7D"/>
    <w:rsid w:val="7ACE2AB8"/>
    <w:rsid w:val="7ADA34B5"/>
    <w:rsid w:val="7D8778F2"/>
    <w:rsid w:val="7E674DD8"/>
    <w:rsid w:val="7E9E232C"/>
    <w:rsid w:val="7F733F7E"/>
    <w:rsid w:val="7F7A7B06"/>
    <w:rsid w:val="BDFE0C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480" w:after="360" w:line="480" w:lineRule="auto"/>
      <w:jc w:val="center"/>
      <w:outlineLvl w:val="0"/>
    </w:pPr>
    <w:rPr>
      <w:rFonts w:ascii="Calibri" w:hAnsi="Calibri" w:cs="Calibri"/>
      <w:bCs/>
      <w:kern w:val="44"/>
      <w:sz w:val="40"/>
      <w:szCs w:val="28"/>
    </w:rPr>
  </w:style>
  <w:style w:type="paragraph" w:styleId="3">
    <w:name w:val="heading 2"/>
    <w:basedOn w:val="1"/>
    <w:next w:val="1"/>
    <w:unhideWhenUsed/>
    <w:qFormat/>
    <w:uiPriority w:val="0"/>
    <w:pPr>
      <w:keepNext/>
      <w:keepLines/>
      <w:spacing w:before="260" w:after="260" w:line="408" w:lineRule="auto"/>
      <w:outlineLvl w:val="1"/>
    </w:pPr>
    <w:rPr>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3"/>
    <w:basedOn w:val="1"/>
    <w:qFormat/>
    <w:uiPriority w:val="0"/>
    <w:pPr>
      <w:spacing w:line="300" w:lineRule="auto"/>
    </w:pPr>
    <w:rPr>
      <w:color w:val="FF6600"/>
      <w:sz w:val="24"/>
      <w:szCs w:val="32"/>
    </w:rPr>
  </w:style>
  <w:style w:type="paragraph" w:styleId="6">
    <w:name w:val="Body Text"/>
    <w:basedOn w:val="1"/>
    <w:qFormat/>
    <w:uiPriority w:val="1"/>
    <w:rPr>
      <w:rFonts w:ascii="黑体" w:hAnsi="黑体" w:eastAsia="黑体" w:cs="黑体"/>
      <w:sz w:val="16"/>
      <w:szCs w:val="16"/>
      <w:lang w:val="zh-CN" w:eastAsia="zh-CN" w:bidi="zh-CN"/>
    </w:rPr>
  </w:style>
  <w:style w:type="paragraph" w:styleId="7">
    <w:name w:val="Body Text Indent"/>
    <w:basedOn w:val="1"/>
    <w:qFormat/>
    <w:uiPriority w:val="0"/>
    <w:pPr>
      <w:ind w:firstLine="540" w:firstLineChars="225"/>
    </w:pPr>
    <w:rPr>
      <w:rFonts w:ascii="仿宋_GB2312" w:eastAsia="仿宋_GB2312"/>
      <w:kern w:val="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pPr>
    <w:rPr>
      <w:rFonts w:cs="Times New Roman"/>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Other|1"/>
    <w:basedOn w:val="1"/>
    <w:qFormat/>
    <w:uiPriority w:val="0"/>
    <w:pPr>
      <w:widowControl w:val="0"/>
      <w:shd w:val="clear" w:color="auto" w:fill="auto"/>
      <w:spacing w:after="30"/>
    </w:pPr>
    <w:rPr>
      <w:rFonts w:ascii="Arial" w:hAnsi="Arial" w:eastAsia="Arial" w:cs="Arial"/>
      <w:sz w:val="15"/>
      <w:szCs w:val="15"/>
      <w:u w:val="none"/>
      <w:shd w:val="clear" w:color="auto" w:fill="auto"/>
    </w:rPr>
  </w:style>
  <w:style w:type="paragraph" w:customStyle="1" w:styleId="17">
    <w:name w:val="Body text|1"/>
    <w:basedOn w:val="1"/>
    <w:qFormat/>
    <w:uiPriority w:val="0"/>
    <w:pPr>
      <w:widowControl w:val="0"/>
      <w:shd w:val="clear" w:color="auto" w:fill="auto"/>
      <w:spacing w:after="30"/>
    </w:pPr>
    <w:rPr>
      <w:rFonts w:ascii="MingLiU" w:hAnsi="MingLiU" w:eastAsia="MingLiU" w:cs="MingLiU"/>
      <w:sz w:val="19"/>
      <w:szCs w:val="19"/>
      <w:u w:val="none"/>
      <w:shd w:val="clear" w:color="auto" w:fill="auto"/>
      <w:lang w:val="zh-TW" w:eastAsia="zh-TW" w:bidi="zh-TW"/>
    </w:rPr>
  </w:style>
  <w:style w:type="paragraph" w:styleId="18">
    <w:name w:val="List Paragraph"/>
    <w:basedOn w:val="1"/>
    <w:qFormat/>
    <w:uiPriority w:val="34"/>
    <w:pPr>
      <w:ind w:firstLine="420" w:firstLineChars="200"/>
    </w:pPr>
  </w:style>
  <w:style w:type="paragraph" w:customStyle="1" w:styleId="19">
    <w:name w:val="Pa0"/>
    <w:basedOn w:val="20"/>
    <w:next w:val="20"/>
    <w:qFormat/>
    <w:uiPriority w:val="99"/>
    <w:pPr>
      <w:spacing w:line="241" w:lineRule="atLeast"/>
    </w:pPr>
    <w:rPr>
      <w:rFonts w:cstheme="minorBidi"/>
      <w:color w:val="auto"/>
    </w:rPr>
  </w:style>
  <w:style w:type="paragraph" w:customStyle="1" w:styleId="2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9.png"/><Relationship Id="rId4" Type="http://schemas.openxmlformats.org/officeDocument/2006/relationships/header" Target="header2.xml"/><Relationship Id="rId39" Type="http://schemas.openxmlformats.org/officeDocument/2006/relationships/image" Target="media/image8.png"/><Relationship Id="rId38" Type="http://schemas.openxmlformats.org/officeDocument/2006/relationships/image" Target="media/image7.png"/><Relationship Id="rId37" Type="http://schemas.openxmlformats.org/officeDocument/2006/relationships/image" Target="media/image6.png"/><Relationship Id="rId36" Type="http://schemas.openxmlformats.org/officeDocument/2006/relationships/image" Target="media/image5.png"/><Relationship Id="rId35" Type="http://schemas.openxmlformats.org/officeDocument/2006/relationships/image" Target="media/image4.png"/><Relationship Id="rId34" Type="http://schemas.openxmlformats.org/officeDocument/2006/relationships/image" Target="media/image3.jpeg"/><Relationship Id="rId33" Type="http://schemas.openxmlformats.org/officeDocument/2006/relationships/theme" Target="theme/theme1.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header" Target="header11.xml"/><Relationship Id="rId28" Type="http://schemas.openxmlformats.org/officeDocument/2006/relationships/header" Target="header10.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4847</Words>
  <Characters>5449</Characters>
  <Lines>0</Lines>
  <Paragraphs>0</Paragraphs>
  <TotalTime>1</TotalTime>
  <ScaleCrop>false</ScaleCrop>
  <LinksUpToDate>false</LinksUpToDate>
  <CharactersWithSpaces>5589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2020-12-18T13:47:00Z</dcterms:created>
  <dc:creator>CleverWei</dc:creator>
  <cp:lastModifiedBy>JGX</cp:lastModifiedBy>
  <cp:lastPrinted>2023-10-23T03:34:00Z</cp:lastPrinted>
  <dcterms:modified xsi:type="dcterms:W3CDTF">2025-03-25T08:06:03Z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B54110E0B93B4CAD98CEE844D90325E7_13</vt:lpwstr>
  </property>
</Properties>
</file>