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b/>
          <w:i/>
          <w:color w:val="auto"/>
          <w:sz w:val="32"/>
        </w:rPr>
      </w:pPr>
    </w:p>
    <w:p>
      <w:pPr>
        <w:rPr>
          <w:b/>
          <w:i/>
          <w:color w:val="auto"/>
          <w:sz w:val="32"/>
        </w:rPr>
      </w:pPr>
    </w:p>
    <w:p>
      <w:pPr>
        <w:rPr>
          <w:b/>
          <w:i/>
          <w:color w:val="auto"/>
          <w:sz w:val="32"/>
        </w:rPr>
      </w:pPr>
    </w:p>
    <w:p>
      <w:pPr>
        <w:rPr>
          <w:b/>
          <w:i/>
          <w:color w:val="auto"/>
          <w:sz w:val="32"/>
        </w:rPr>
      </w:pPr>
    </w:p>
    <w:p>
      <w:pPr>
        <w:rPr>
          <w:b/>
          <w:i/>
          <w:color w:val="auto"/>
          <w:sz w:val="32"/>
        </w:rPr>
      </w:pPr>
    </w:p>
    <w:p>
      <w:pPr>
        <w:rPr>
          <w:b/>
          <w:i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0"/>
        <w:rPr>
          <w:rFonts w:hint="default" w:ascii="宋体" w:hAnsi="宋体" w:eastAsia="宋体" w:cs="宋体"/>
          <w:b/>
          <w:bCs w:val="0"/>
          <w:color w:val="auto"/>
          <w:sz w:val="72"/>
          <w:szCs w:val="72"/>
          <w:lang w:val="en-US" w:eastAsia="zh-CN"/>
        </w:rPr>
      </w:pPr>
      <w:bookmarkStart w:id="0" w:name="_Toc14594"/>
      <w:bookmarkStart w:id="1" w:name="_Toc30746"/>
      <w:r>
        <w:rPr>
          <w:rFonts w:hint="eastAsia" w:ascii="宋体" w:hAnsi="宋体" w:eastAsia="宋体" w:cs="宋体"/>
          <w:b/>
          <w:bCs w:val="0"/>
          <w:color w:val="auto"/>
          <w:sz w:val="72"/>
          <w:szCs w:val="72"/>
          <w:lang w:val="en-US" w:eastAsia="zh-CN"/>
        </w:rPr>
        <w:t>FK-OES系列电动搅拌器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160020</wp:posOffset>
                </wp:positionV>
                <wp:extent cx="3990340" cy="0"/>
                <wp:effectExtent l="0" t="9525" r="10160" b="9525"/>
                <wp:wrapNone/>
                <wp:docPr id="2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82.9pt;margin-top:12.6pt;height:0pt;width:314.2pt;z-index:251662336;mso-width-relative:page;mso-height-relative:page;" filled="f" stroked="t" coordsize="21600,21600" o:gfxdata="UEsDBAoAAAAAAIdO4kAAAAAAAAAAAAAAAAAEAAAAZHJzL1BLAwQUAAAACACHTuJAtTPttNkAAAAJ&#10;AQAADwAAAGRycy9kb3ducmV2LnhtbE2PzU7DMBCE75X6DtYicWvtBlrSEKdCSBVCgERaDhzdeJtE&#10;jddR7P7w9iziALed3dHsN/nq4jpxwiG0njTMpgoEUuVtS7WGj+16koII0ZA1nSfU8IUBVsV4lJvM&#10;+jOVeNrEWnAIhcxoaGLsMylD1aAzYep7JL7t/eBMZDnU0g7mzOGuk4lSC+lMS/yhMT0+NlgdNken&#10;4eblbVvG95TW5X75+uQfPtNn5bW+vpqpexARL/HPDD/4jA4FM+38kWwQHevFnNGjhmSegGDD3fKW&#10;h93vQha5/N+g+AZQSwMEFAAAAAgAh07iQMnpTt/lAQAAtAMAAA4AAABkcnMvZTJvRG9jLnhtbK1T&#10;S27bMBDdF+gdCO5jyU5SxILlLGKkm6I10PYANEVJBPjDDGPZl+gFCnTXrrrsvrdpcowOKcdJ000W&#10;0YIazucN3+Nwcbmzhm0VoPau5tNJyZly0jfadTX//On65IIzjMI1wninar5XyC+Xr18thlCpme+9&#10;aRQwAnFYDaHmfYyhKgqUvbICJz4oR8HWgxWRttAVDYiB0K0pZmX5phg8NAG8VIjkXY1BfkCE5wD6&#10;ttVSrby8scrFERWUEZEoYa8D8mU+bdsqGT+0LarITM2JacwrNSF7k9ZiuRBVByL0Wh6OIJ5zhCec&#10;rNCOmh6hViIKdgP6PyirJXj0bZxIb4uRSFaEWEzLJ9p87EVQmQtJjeEoOr4crHy/XQPTTc1n55w5&#10;YenGb7/++vPl+93vb7Te/vzBpmdJpiFgRdlXbg2HHYY1JM67Fmz6Exu2y9Luj9KqXWSSnKfzeXl6&#10;RqrL+1jxUBgA41vlLUtGzY12ibWoxPYdRmpGqfcpye38tTYm35xxbKAhnpfnCVrQOLY0BmTaQJTQ&#10;dZwJ09GcywgZEr3RTSpPQAjd5soA24o0HflLTKndP2mp90pgP+bl0Dg3Vkd6Ckbbml88rjaOQJJe&#10;o0LJ2vhmn4XLfrrM3OYweGlaHu9z9cNjW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TPttNkA&#10;AAAJAQAADwAAAAAAAAABACAAAAAiAAAAZHJzL2Rvd25yZXYueG1sUEsBAhQAFAAAAAgAh07iQMnp&#10;Tt/lAQAAtAMAAA4AAAAAAAAAAQAgAAAAKA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sz w:val="72"/>
          <w:szCs w:val="72"/>
          <w:lang w:eastAsia="zh-CN"/>
        </w:rPr>
      </w:pPr>
      <w:bookmarkStart w:id="2" w:name="_Toc9412"/>
      <w:bookmarkStart w:id="3" w:name="_Toc25906"/>
      <w:r>
        <w:rPr>
          <w:rFonts w:hint="eastAsia" w:ascii="宋体" w:hAnsi="宋体" w:eastAsia="宋体" w:cs="宋体"/>
          <w:b w:val="0"/>
          <w:bCs/>
          <w:color w:val="auto"/>
          <w:sz w:val="72"/>
          <w:szCs w:val="72"/>
          <w:lang w:eastAsia="zh-CN"/>
        </w:rPr>
        <w:t>使用说明书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</w:pPr>
    </w:p>
    <w:p>
      <w:pPr>
        <w:pStyle w:val="17"/>
        <w:jc w:val="center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78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center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bookmarkStart w:id="4" w:name="_Toc24501"/>
          <w:bookmarkStart w:id="5" w:name="_Toc16217"/>
          <w:bookmarkStart w:id="6" w:name="_Toc28274"/>
          <w:bookmarkStart w:id="7" w:name="_Toc7072"/>
          <w:bookmarkStart w:id="8" w:name="_Toc17666"/>
          <w:bookmarkStart w:id="9" w:name="_Toc8822"/>
          <w:r>
            <w:rPr>
              <w:rFonts w:hint="eastAsia" w:ascii="宋体" w:hAnsi="宋体" w:eastAsia="宋体" w:cs="宋体"/>
              <w:sz w:val="24"/>
              <w:szCs w:val="24"/>
            </w:rPr>
            <w:t>目录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_Toc32515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前言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_Toc32515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_Toc4523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一、概述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_Toc4523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_Toc29546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二、结构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_Toc29546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_Toc19452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三、产品特点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_Toc19452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_Toc28999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四、产品参数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_Toc28999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_Toc15119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五、设备安装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_Toc15119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_Toc7338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六、设备使用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_Toc7338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_Toc14134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七、维护保养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_Toc14134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_Toc29932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八、故障分析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_Toc29932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_Toc29030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九、保修声明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_Toc29030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_Toc530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十、开箱检查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_Toc530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_Toc2291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十一、装箱清单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_Toc2291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bookmarkStart w:id="10" w:name="_Toc32515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前言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感谢您选择电动搅拌器，为获得更好的使用体验，请认真阅读本使用说明书，并遵守安全操作规范！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11" w:name="_Toc17433"/>
      <w:bookmarkStart w:id="12" w:name="_Toc25587"/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请妥善保管本使用说明书以便需要时查阅！</w:t>
      </w:r>
      <w:bookmarkEnd w:id="11"/>
      <w:bookmarkEnd w:id="12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注意事项：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请确保只有受过相关训练的人员才能操作使用本仪器。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请遵守安全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规范、人身安全和事故防止等相关规范。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注意磁场！使用时需注意磁场对周边环境的影响，尤其是数据存储器、心脏起搏器。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请使用独立的电源插座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请将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仪器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电源插头完全地插入电源插座中，请不要使用指定以外的电源。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切勿用湿手去插拔电源插头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亦切勿湿手操作仪器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不可损毁、修改、拉拽、过度弯曲或扭曲电源线，亦切勿把重物置于电源线上。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请将仪器放置于平稳、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坚固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清洁、防滑、干燥和防火的台面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得将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设备放置在靠近热源的地方。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每次使用前请注意检查仪器和配件确保无损。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出现介质飞溅、运转不平稳、仪器发生移动等状况，请降低转速。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如果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一段时间内不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使用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仪器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，应将电源线插头断开电源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本仪器仅适用于对处理过程中产生的能量不发生危险反应的介质。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处理有毒、易挥发介质时，请采取适当的防护措施。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如果您在使用过程中，发现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仪器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有异味或有异常噪音时，应立即切断电源，然后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在第一时间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我司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售后服务部。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不得随意拆卸和调整仪器的零部件，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备件损坏时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请仅使用原装备件进行更换。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设备发生故障时，应及时切断电源，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并在第一时间联系我司进行维修指导或返厂检修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9" w:type="first"/>
          <w:headerReference r:id="rId6" w:type="default"/>
          <w:footerReference r:id="rId7" w:type="default"/>
          <w:footerReference r:id="rId8" w:type="even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3" w:name="_Toc29158"/>
      <w:bookmarkStart w:id="14" w:name="_Toc4523"/>
      <w:bookmarkStart w:id="15" w:name="_Toc75"/>
      <w:bookmarkStart w:id="16" w:name="_Toc25163"/>
      <w:bookmarkStart w:id="17" w:name="_Toc1851"/>
      <w:bookmarkStart w:id="18" w:name="_Toc3148"/>
      <w:bookmarkStart w:id="19" w:name="_Toc1597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一、概述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94" w:name="_GoBack"/>
      <w:bookmarkEnd w:id="9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悬臂式电动搅拌器，用于实验室高粘度液体的搅拌及混和，此机外型流畅，使用方便，独特的悬臂式设计能防止液体进入机头内，在连续运行时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，结构合理的大比例冷却表面能均匀速度地散热，保证机器的稳定运行。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0" w:name="_Toc5764"/>
      <w:bookmarkStart w:id="21" w:name="_Toc31770"/>
      <w:bookmarkStart w:id="22" w:name="_Toc23272"/>
      <w:bookmarkStart w:id="23" w:name="_Toc18716"/>
      <w:bookmarkStart w:id="24" w:name="_Toc31230"/>
      <w:bookmarkStart w:id="25" w:name="_Toc29546"/>
      <w:bookmarkStart w:id="26" w:name="_Toc19254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二、结构</w:t>
      </w:r>
      <w:bookmarkEnd w:id="20"/>
      <w:bookmarkEnd w:id="21"/>
      <w:bookmarkEnd w:id="22"/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91440</wp:posOffset>
            </wp:positionV>
            <wp:extent cx="2523490" cy="3371215"/>
            <wp:effectExtent l="0" t="0" r="10160" b="635"/>
            <wp:wrapNone/>
            <wp:docPr id="40" name="图片 40" descr="C:\Users\81448\Desktop\未完成项目\9月\尚仪引进-OES电动搅拌器维护资料(2)\尚仪线稿OES系列电动搅拌器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81448\Desktop\未完成项目\9月\尚仪引进-OES电动搅拌器维护资料(2)\尚仪线稿OES系列电动搅拌器\5.png5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37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操作面板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               2、</w:t>
      </w:r>
      <w:r>
        <w:rPr>
          <w:rFonts w:hint="eastAsia" w:ascii="宋体" w:hAnsi="宋体" w:eastAsia="宋体" w:cs="宋体"/>
          <w:sz w:val="24"/>
          <w:szCs w:val="24"/>
        </w:rPr>
        <w:t>十字固定夹（大）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  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立杆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十字固定夹（小）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       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烧杯夹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            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万用夹头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bookmarkStart w:id="27" w:name="_Toc9492"/>
      <w:bookmarkStart w:id="28" w:name="_Toc7010"/>
      <w:bookmarkStart w:id="29" w:name="_Toc23015"/>
      <w:bookmarkStart w:id="30" w:name="_Toc8649"/>
      <w:bookmarkStart w:id="31" w:name="_Toc11797"/>
      <w:bookmarkStart w:id="32" w:name="_Toc2158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搅拌桨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                 8、</w:t>
      </w:r>
      <w:r>
        <w:rPr>
          <w:rFonts w:hint="eastAsia" w:ascii="宋体" w:hAnsi="宋体" w:eastAsia="宋体" w:cs="宋体"/>
          <w:sz w:val="24"/>
          <w:szCs w:val="24"/>
        </w:rPr>
        <w:t>金属底板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33" w:name="_Toc1945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三、产品特点</w:t>
      </w:r>
      <w:bookmarkEnd w:id="27"/>
      <w:bookmarkEnd w:id="28"/>
      <w:bookmarkEnd w:id="29"/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1、LCD液晶屏显示转速和定时时间，直观清晰；（仅限FK-OES-60SH、FK-OES-100SH、FK-OES-200SH型号）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2、可调式万用夹头，方便装卸搅拌桨；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3、直流永磁电机，低噪音，响应快，运行平稳；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4、启动运行平稳，有效防止样品溢出；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5、过载自动停止，保障运行安全；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6、微处理器控制技术，转速精度高，即使在粘度变化条件下，数字反馈控制系统也能保证搅拌器的恒速恒扭矩；（仅限FK-OES-60SH、FK-OES-100SH、FK-OES-200SH型号）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7、自动记忆最终设定的工作参数，三种模式储存常用参数，节约操作时间。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headerReference r:id="rId12" w:type="first"/>
          <w:footerReference r:id="rId15" w:type="first"/>
          <w:headerReference r:id="rId10" w:type="default"/>
          <w:footerReference r:id="rId13" w:type="default"/>
          <w:headerReference r:id="rId11" w:type="even"/>
          <w:footerReference r:id="rId14" w:type="even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ind w:leftChars="0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34" w:name="_Toc17359"/>
      <w:bookmarkStart w:id="35" w:name="_Toc28999"/>
      <w:bookmarkStart w:id="36" w:name="_Toc31282"/>
      <w:bookmarkStart w:id="37" w:name="_Toc15754"/>
      <w:bookmarkStart w:id="38" w:name="_Toc11660"/>
      <w:bookmarkStart w:id="39" w:name="_Toc29209"/>
      <w:bookmarkStart w:id="40" w:name="_Toc31554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四、产品参数</w:t>
      </w:r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194"/>
        <w:gridCol w:w="2194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FK-OES-60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FK-OES-100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330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AC100</w:t>
            </w: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~</w:t>
            </w:r>
            <w:r>
              <w:rPr>
                <w:rStyle w:val="2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240V 50/60Hz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整机功率W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显示方式</w:t>
            </w:r>
          </w:p>
        </w:tc>
        <w:tc>
          <w:tcPr>
            <w:tcW w:w="330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转速范围rpm</w:t>
            </w:r>
          </w:p>
        </w:tc>
        <w:tc>
          <w:tcPr>
            <w:tcW w:w="330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100～2000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转速控制精度rpm</w:t>
            </w:r>
          </w:p>
        </w:tc>
        <w:tc>
          <w:tcPr>
            <w:tcW w:w="330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最大搅拌量（H</w:t>
            </w:r>
            <w:r>
              <w:rPr>
                <w:rStyle w:val="2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O）L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搅拌最大粘度mPa·s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电机类型</w:t>
            </w:r>
          </w:p>
        </w:tc>
        <w:tc>
          <w:tcPr>
            <w:tcW w:w="3303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直流永磁电机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定时功能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产品尺寸（L×W×H）mm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  <w:tc>
          <w:tcPr>
            <w:tcW w:w="11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194"/>
        <w:gridCol w:w="2194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FK-OES-60SH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FK-OES-100SH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FK-OES-200SH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AC100~240V 50/60Hz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整机功率W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显示方式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LCD液晶屏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转速范围rpm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100～2000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转速控制精度rpm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最大搅拌量（H</w:t>
            </w: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O）L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搅拌最大粘度mPa·s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电机类型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直流永磁电机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定时功能</w:t>
            </w: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1~999min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1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产品尺寸（L×W×H）mm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200×315×610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41" w:name="_Toc24491"/>
      <w:bookmarkStart w:id="42" w:name="_Toc22012"/>
      <w:bookmarkStart w:id="43" w:name="_Toc23267"/>
      <w:bookmarkStart w:id="44" w:name="_Toc10547"/>
      <w:bookmarkStart w:id="45" w:name="_Toc6497"/>
      <w:bookmarkStart w:id="46" w:name="_Toc15119"/>
      <w:bookmarkStart w:id="47" w:name="_Toc82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五、设备安装</w:t>
      </w:r>
      <w:bookmarkEnd w:id="41"/>
      <w:bookmarkEnd w:id="42"/>
      <w:bookmarkEnd w:id="43"/>
      <w:bookmarkEnd w:id="44"/>
      <w:bookmarkEnd w:id="45"/>
      <w:bookmarkEnd w:id="46"/>
      <w:bookmarkEnd w:id="4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48" w:name="_Toc2987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1、工作环境的选择</w:t>
      </w:r>
      <w:bookmarkEnd w:id="4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应按下面的要求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（1）工作室应保持清洁、干燥；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（2）仪器应放置在水平、平稳的工作台上；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（3）工作台应设置在受振动干扰少的地方；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（4）应使仪器远离电磁干扰源；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（5）不得在具有爆炸性危险的区域内使用仪器；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（6）不得长时间在高湿度或高粉尘的环境中使用仪器。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（1）拆箱除去包装后，将底板放置在水平台面上；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（2）将立杆母杆安装在底板上拧紧，将子杆装入母杆拧紧；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（3）将小十字固定夹套入立杆中，在合适位置拧紧，接着套入大十字固定夹并拧紧；将烧杯夹套入小十字固定夹另一端后拧紧，将电机杆套入大十字固定夹另一端拧紧；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（4）将搅拌浆装入钻夹头后，慢慢拧紧，确保搅拌桨已被钻夹头锁紧；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（5）插上电源线。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49" w:name="_Toc13359"/>
      <w:bookmarkStart w:id="50" w:name="_Toc15868"/>
      <w:bookmarkStart w:id="51" w:name="_Toc14105"/>
      <w:bookmarkStart w:id="52" w:name="_Toc9309"/>
      <w:bookmarkStart w:id="53" w:name="_Toc6330"/>
      <w:bookmarkStart w:id="54" w:name="_Toc44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55" w:name="_Toc733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六、设备使用</w:t>
      </w:r>
      <w:bookmarkEnd w:id="49"/>
      <w:bookmarkEnd w:id="50"/>
      <w:bookmarkEnd w:id="51"/>
      <w:bookmarkEnd w:id="52"/>
      <w:bookmarkEnd w:id="53"/>
      <w:bookmarkEnd w:id="54"/>
      <w:bookmarkEnd w:id="55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操作界面（显示屏）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(1)普通款FK-OES-60、FK-OES-100、FK-OES-200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无显示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(2)数显恒速款FK-OES-60SH、FK-OES-100SH、FK-OES-200SH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825240" cy="1219200"/>
            <wp:effectExtent l="0" t="0" r="3810" b="0"/>
            <wp:docPr id="29" name="图片 6" descr="C:\Users\81448\Desktop\未完成项目\9月\尚仪引进-OES电动搅拌器维护资料(2)\尚仪线稿OES系列电动搅拌器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C:\Users\81448\Desktop\未完成项目\9月\尚仪引进-OES电动搅拌器维护资料(2)\尚仪线稿OES系列电动搅拌器\1.png1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①转速值显示，设置状态显示设置转速值，运行状态实时显示实际转速值；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②模式显示，可设置三套不同参数模式保存；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③“Pause”图标，仅在仪器开机但不运行的状态显示；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④定时时间值显示，若设置为“000”则为常开模式长时间运行；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⑤运行图标，仅在机器运行时显示，达到指定转速后呈闪烁状态。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按键功能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(1)普通款FK-OES-60、FK-OES-100、FK-OES-200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039495" cy="1042670"/>
            <wp:effectExtent l="0" t="0" r="8255" b="5080"/>
            <wp:docPr id="32" name="图片 7" descr="C:\Users\81448\Desktop\未完成项目\9月\尚仪引进-OES电动搅拌器维护资料(2)\尚仪线稿OES系列电动搅拌器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 descr="C:\Users\81448\Desktop\未完成项目\9月\尚仪引进-OES电动搅拌器维护资料(2)\尚仪线稿OES系列电动搅拌器\2.png2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10540" cy="511810"/>
                  <wp:effectExtent l="0" t="0" r="3810" b="2540"/>
                  <wp:docPr id="50" name="图片 5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转速调节旋钮，顺时针旋转速度加快，逆时针旋转速度减缓，旋至最左为停转。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○</w:t>
            </w:r>
          </w:p>
        </w:tc>
        <w:tc>
          <w:tcPr>
            <w:tcW w:w="44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运行指示灯，旋钮旋到指定位置点亮此灯，仪器开始运行，且转速越高，指示灯闪烁越频繁。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(2)数显恒速款FK-OES-60SH、FK-OES-100SH、FK-OES-200SH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042670" cy="1039495"/>
            <wp:effectExtent l="0" t="0" r="5080" b="8255"/>
            <wp:docPr id="45" name="图片 8" descr="C:\Users\81448\Desktop\未完成项目\9月\尚仪引进-OES电动搅拌器维护资料(2)\尚仪线稿OES系列电动搅拌器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8" descr="C:\Users\81448\Desktop\未完成项目\9月\尚仪引进-OES电动搅拌器维护资料(2)\尚仪线稿OES系列电动搅拌器\4.png4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3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258445" cy="360045"/>
                  <wp:effectExtent l="0" t="0" r="8255" b="1905"/>
                  <wp:docPr id="56" name="图片 56" descr="未标题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未标题-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“set”键，点按可依次进行模式的选择、转速、时间的设置。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210820" cy="360045"/>
                  <wp:effectExtent l="0" t="0" r="17780" b="1905"/>
                  <wp:docPr id="57" name="图片 5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减小键，点按则被设置的数值减小。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210820" cy="360045"/>
                  <wp:effectExtent l="0" t="0" r="17780" b="1905"/>
                  <wp:docPr id="58" name="图片 58" descr="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5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增加键，点按则被设置的数值增加。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210185" cy="360045"/>
                  <wp:effectExtent l="0" t="0" r="18415" b="1905"/>
                  <wp:docPr id="59" name="图片 59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2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开关键，接入电源后长按此键3s点亮显示屏，设置好参数后点按此键仪器开始运行，仪器运行完毕长按此键3s息屏。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操作方式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普通款FK-OES-60、FK-OES-100、FK-OES-200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(1)顺时针旋动旋钮听到“咔”的声响，点亮运行指示灯并开始闪烁，继续顺时针旋动，转速则不断增加，运行指示灯闪烁速度也将加快；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(2)旋钮调节到合适转速开始实验；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(3)实验完毕将旋钮逆时针旋至听到“咔”的声响，运行指示灯熄灭，拔掉电源。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数显恒速款FK-OES-60SH、FK-OES-100SH、FK-OES-200SH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(1)长按开关键3s，点亮显示屏；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(2)点按“set”键，“Mode”标识闪烁，进入模式的选择，点按增加或减小键可选择最多三种模式，每种模式一一对应上次最后运行设置的参数，选择好点击“set”键确认编辑该模式；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标识闪烁，进入转速编辑，点按增加或减小键可调节转速，调节好后点击“set”键确认此模式下设置该转速；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标识闪烁，进入定时时间编辑，点按增加或减小键可调节定时时间，调节好后点击“set”键确认此模式下设置该定时时间（若此值选择“000”表示常开状态，仪器可长时间运行，需人工停止）；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(5)点按开关键，仪器开始运行，运行图标点亮，若设置的定时时间不为“000”，仪器则在运行到达设置转速值后开始倒计时，运行图标呈闪烁状态；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(6)实验完成可通过仪器自身倒计时停止运行，亦可人工点按开关键停止运行；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(7)长按开关键息屏，拔掉电源。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56" w:name="_Toc17566"/>
      <w:bookmarkStart w:id="57" w:name="_Toc6758"/>
      <w:bookmarkStart w:id="58" w:name="_Toc24513"/>
      <w:bookmarkStart w:id="59" w:name="_Toc13242"/>
      <w:bookmarkStart w:id="60" w:name="_Toc11266"/>
      <w:bookmarkStart w:id="61" w:name="_Toc46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62" w:name="_Toc1413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七、维护保养</w:t>
      </w:r>
      <w:bookmarkEnd w:id="56"/>
      <w:bookmarkEnd w:id="57"/>
      <w:bookmarkEnd w:id="58"/>
      <w:bookmarkEnd w:id="59"/>
      <w:bookmarkEnd w:id="60"/>
      <w:bookmarkEnd w:id="61"/>
      <w:bookmarkEnd w:id="62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63" w:name="_Toc4902"/>
      <w:bookmarkStart w:id="64" w:name="_Toc320"/>
      <w:bookmarkStart w:id="65" w:name="_Toc6278"/>
      <w:bookmarkStart w:id="66" w:name="_Toc6940"/>
      <w:bookmarkStart w:id="67" w:name="_Toc1442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1、在清洁机器时禁用硬物处理，防止伤害机器表面；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2、长时间不用应拔下电源线，并将仪器放置于阴凉干燥处；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3、机器在较长时间未用后重新启用前应先检查一下各功能是否正常，再进行试验。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bookmarkStart w:id="68" w:name="_Toc2993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八、故障分析</w:t>
      </w:r>
      <w:bookmarkEnd w:id="63"/>
      <w:bookmarkEnd w:id="64"/>
      <w:bookmarkEnd w:id="65"/>
      <w:bookmarkEnd w:id="66"/>
      <w:bookmarkEnd w:id="67"/>
      <w:bookmarkEnd w:id="68"/>
    </w:p>
    <w:tbl>
      <w:tblPr>
        <w:tblStyle w:val="11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279"/>
        <w:gridCol w:w="5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9" w:name="_Toc21717"/>
            <w:bookmarkStart w:id="70" w:name="_Toc26283"/>
            <w:bookmarkStart w:id="71" w:name="_Toc2199"/>
            <w:bookmarkStart w:id="72" w:name="_Toc1762"/>
            <w:bookmarkStart w:id="73" w:name="_Toc21945"/>
            <w:bookmarkStart w:id="74" w:name="_Toc237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故障现象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故障原因</w:t>
            </w:r>
          </w:p>
        </w:tc>
        <w:tc>
          <w:tcPr>
            <w:tcW w:w="2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故障解决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无法开机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1、电源线松脱；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2、电源损坏。</w:t>
            </w:r>
          </w:p>
        </w:tc>
        <w:tc>
          <w:tcPr>
            <w:tcW w:w="2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1、重新插拔电源线；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2、更换电源。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不搅拌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1、电机损坏；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2、电机堵转故障。</w:t>
            </w:r>
          </w:p>
        </w:tc>
        <w:tc>
          <w:tcPr>
            <w:tcW w:w="2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1、更换电机；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2、断电，检查电机堵转的原因并排除后，重启仪器。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bookmarkStart w:id="75" w:name="_Toc2903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九、保修声明</w:t>
      </w:r>
      <w:bookmarkEnd w:id="69"/>
      <w:bookmarkEnd w:id="70"/>
      <w:bookmarkEnd w:id="71"/>
      <w:bookmarkEnd w:id="72"/>
      <w:bookmarkEnd w:id="73"/>
      <w:bookmarkEnd w:id="74"/>
      <w:bookmarkEnd w:id="75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本公司产品保修期一年（从产品售出之日起）。保修期内，用户可凭保修卡、商业发票对质量有问题的产品实行更换或免费维修。属下列情况之一除外：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1、保修期已过；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2、因用户自己的过失而造成仪器的损坏；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3、用户未按说明书规定操作而造成仪器损坏；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4、由于仪器暴露在具有放射性或腐蚀性物质的环境中造成仪器损坏；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5、用户擅自拆开仪器或非经本公司认可的维修人员修理、调试而造成仪器的损坏。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76" w:name="_Toc16802"/>
      <w:bookmarkStart w:id="77" w:name="_Toc14991"/>
      <w:bookmarkStart w:id="78" w:name="_Toc25198"/>
      <w:bookmarkStart w:id="79" w:name="_Toc16379"/>
      <w:bookmarkStart w:id="80" w:name="_Toc530"/>
      <w:bookmarkStart w:id="81" w:name="_Toc11936"/>
      <w:bookmarkStart w:id="82" w:name="_Toc23954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十、开箱检查</w:t>
      </w:r>
      <w:bookmarkEnd w:id="76"/>
      <w:bookmarkEnd w:id="77"/>
      <w:bookmarkEnd w:id="78"/>
      <w:bookmarkEnd w:id="79"/>
      <w:bookmarkEnd w:id="80"/>
      <w:bookmarkEnd w:id="81"/>
      <w:bookmarkEnd w:id="82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83" w:name="_Toc17931"/>
      <w:bookmarkStart w:id="84" w:name="_Toc3492"/>
      <w:bookmarkStart w:id="85" w:name="_Toc24600"/>
      <w:bookmarkStart w:id="86" w:name="_Toc405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请小心拆开包装，并对照本说明书附录装箱单，对仪器各部件进行清点、检查。如发现有任何破损，请及时联系我司。</w:t>
      </w:r>
      <w:bookmarkEnd w:id="83"/>
      <w:bookmarkEnd w:id="84"/>
      <w:bookmarkEnd w:id="85"/>
      <w:bookmarkEnd w:id="86"/>
      <w:bookmarkStart w:id="87" w:name="_Toc6116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88" w:name="_Toc9937"/>
      <w:bookmarkStart w:id="89" w:name="_Toc24019"/>
      <w:bookmarkStart w:id="90" w:name="_Toc22377"/>
      <w:bookmarkStart w:id="91" w:name="_Toc22172"/>
      <w:bookmarkStart w:id="92" w:name="_Toc2757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88" w:lineRule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93" w:name="_Toc229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十一、装箱清单</w:t>
      </w:r>
      <w:bookmarkEnd w:id="87"/>
      <w:bookmarkEnd w:id="88"/>
      <w:bookmarkEnd w:id="89"/>
      <w:bookmarkEnd w:id="90"/>
      <w:bookmarkEnd w:id="91"/>
      <w:bookmarkEnd w:id="92"/>
      <w:bookmarkEnd w:id="93"/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195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立杆（含子杆、母杆）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金属底板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十字固定夹（大）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十字固定夹（小）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两叶搅拌桨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三叶搅拌桨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（仅限FK-OES-60SH、FK-OES-100SH、FK-OES-200SH型号）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使用说明书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产品合格证、保修卡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tabs>
          <w:tab w:val="left" w:pos="56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headerReference r:id="rId18" w:type="first"/>
      <w:footerReference r:id="rId21" w:type="first"/>
      <w:headerReference r:id="rId16" w:type="default"/>
      <w:footerReference r:id="rId19" w:type="default"/>
      <w:headerReference r:id="rId17" w:type="even"/>
      <w:footerReference r:id="rId20" w:type="even"/>
      <w:pgSz w:w="11906" w:h="16838"/>
      <w:pgMar w:top="1440" w:right="1080" w:bottom="1440" w:left="108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47445" cy="171450"/>
          <wp:effectExtent l="0" t="0" r="14605" b="0"/>
          <wp:docPr id="18" name="图片 18" descr="力辰科技黑色（不带圈的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力辰科技黑色（不带圈的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4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147445" cy="171450"/>
          <wp:effectExtent l="0" t="0" r="14605" b="0"/>
          <wp:docPr id="19" name="图片 19" descr="力辰科技黑色（不带圈的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力辰科技黑色（不带圈的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4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6B7DB"/>
    <w:multiLevelType w:val="singleLevel"/>
    <w:tmpl w:val="6366B7D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auto"/>
      </w:rPr>
    </w:lvl>
  </w:abstractNum>
  <w:abstractNum w:abstractNumId="1">
    <w:nsid w:val="6E98DC3C"/>
    <w:multiLevelType w:val="singleLevel"/>
    <w:tmpl w:val="6E98DC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BiYTY3ZmRjZmVkMTE3NGM1NzZjZDdiMGY3MWEifQ=="/>
  </w:docVars>
  <w:rsids>
    <w:rsidRoot w:val="1627656C"/>
    <w:rsid w:val="002307A2"/>
    <w:rsid w:val="025A34FE"/>
    <w:rsid w:val="074B45E9"/>
    <w:rsid w:val="08295068"/>
    <w:rsid w:val="085944FF"/>
    <w:rsid w:val="0B847D1E"/>
    <w:rsid w:val="0BBF135B"/>
    <w:rsid w:val="0CD94733"/>
    <w:rsid w:val="13262C02"/>
    <w:rsid w:val="147C607E"/>
    <w:rsid w:val="153418CE"/>
    <w:rsid w:val="15443106"/>
    <w:rsid w:val="1627656C"/>
    <w:rsid w:val="186679C4"/>
    <w:rsid w:val="1B60563A"/>
    <w:rsid w:val="1E131BA7"/>
    <w:rsid w:val="1E3247BD"/>
    <w:rsid w:val="219D1C2D"/>
    <w:rsid w:val="270009C4"/>
    <w:rsid w:val="27347781"/>
    <w:rsid w:val="27C600EA"/>
    <w:rsid w:val="29F41EEE"/>
    <w:rsid w:val="2D011A00"/>
    <w:rsid w:val="2D0B6192"/>
    <w:rsid w:val="2DAF26BA"/>
    <w:rsid w:val="2E034A0D"/>
    <w:rsid w:val="2ED13D84"/>
    <w:rsid w:val="3414761D"/>
    <w:rsid w:val="342F791E"/>
    <w:rsid w:val="34B8709A"/>
    <w:rsid w:val="35CD7405"/>
    <w:rsid w:val="38DD2698"/>
    <w:rsid w:val="3B743CD3"/>
    <w:rsid w:val="455D1E46"/>
    <w:rsid w:val="46A56D72"/>
    <w:rsid w:val="47546093"/>
    <w:rsid w:val="4EDE1DB8"/>
    <w:rsid w:val="517464DF"/>
    <w:rsid w:val="52F108D7"/>
    <w:rsid w:val="54177809"/>
    <w:rsid w:val="5BAE2CF9"/>
    <w:rsid w:val="5BF87ACE"/>
    <w:rsid w:val="5CC36A18"/>
    <w:rsid w:val="6148214C"/>
    <w:rsid w:val="69C82914"/>
    <w:rsid w:val="6B4C2C20"/>
    <w:rsid w:val="6D8D082F"/>
    <w:rsid w:val="6E725AD8"/>
    <w:rsid w:val="779073A5"/>
    <w:rsid w:val="7ACE2AB8"/>
    <w:rsid w:val="BD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08" w:lineRule="auto"/>
      <w:outlineLvl w:val="1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kern w:val="0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 3"/>
    <w:basedOn w:val="1"/>
    <w:qFormat/>
    <w:uiPriority w:val="0"/>
    <w:pPr>
      <w:spacing w:line="300" w:lineRule="auto"/>
    </w:pPr>
    <w:rPr>
      <w:color w:val="FF6600"/>
      <w:sz w:val="24"/>
      <w:szCs w:val="32"/>
    </w:rPr>
  </w:style>
  <w:style w:type="paragraph" w:styleId="6">
    <w:name w:val="Body Text"/>
    <w:basedOn w:val="1"/>
    <w:qFormat/>
    <w:uiPriority w:val="1"/>
    <w:rPr>
      <w:rFonts w:ascii="黑体" w:hAnsi="黑体" w:eastAsia="黑体" w:cs="黑体"/>
      <w:sz w:val="16"/>
      <w:szCs w:val="16"/>
      <w:lang w:val="zh-CN" w:eastAsia="zh-CN" w:bidi="zh-CN"/>
    </w:rPr>
  </w:style>
  <w:style w:type="paragraph" w:styleId="7">
    <w:name w:val="Body Text Indent"/>
    <w:basedOn w:val="1"/>
    <w:qFormat/>
    <w:uiPriority w:val="0"/>
    <w:pPr>
      <w:ind w:firstLine="540" w:firstLineChars="225"/>
    </w:pPr>
    <w:rPr>
      <w:rFonts w:ascii="仿宋_GB2312" w:eastAsia="仿宋_GB2312"/>
      <w:kern w:val="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after="30"/>
    </w:pPr>
    <w:rPr>
      <w:rFonts w:ascii="Arial" w:hAnsi="Arial" w:eastAsia="Arial" w:cs="Arial"/>
      <w:sz w:val="15"/>
      <w:szCs w:val="15"/>
      <w:u w:val="none"/>
      <w:shd w:val="clear" w:color="auto" w:fill="auto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3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a0"/>
    <w:basedOn w:val="18"/>
    <w:next w:val="18"/>
    <w:qFormat/>
    <w:uiPriority w:val="99"/>
    <w:pPr>
      <w:spacing w:line="241" w:lineRule="atLeast"/>
    </w:pPr>
    <w:rPr>
      <w:rFonts w:cstheme="minorBidi"/>
      <w:color w:val="auto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9.png"/><Relationship Id="rId3" Type="http://schemas.openxmlformats.org/officeDocument/2006/relationships/header" Target="header1.xml"/><Relationship Id="rId29" Type="http://schemas.openxmlformats.org/officeDocument/2006/relationships/image" Target="media/image8.png"/><Relationship Id="rId28" Type="http://schemas.openxmlformats.org/officeDocument/2006/relationships/image" Target="media/image7.png"/><Relationship Id="rId27" Type="http://schemas.openxmlformats.org/officeDocument/2006/relationships/image" Target="media/image6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2991</Words>
  <Characters>3539</Characters>
  <Lines>0</Lines>
  <Paragraphs>0</Paragraphs>
  <TotalTime>17</TotalTime>
  <ScaleCrop>false</ScaleCrop>
  <LinksUpToDate>false</LinksUpToDate>
  <CharactersWithSpaces>3704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2020-12-18T13:47:00Z</dcterms:created>
  <dc:creator>CleverWei</dc:creator>
  <cp:lastModifiedBy>JGX</cp:lastModifiedBy>
  <dcterms:modified xsi:type="dcterms:W3CDTF">2025-03-25T07:54:57Z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4FD629BA8622446599573D5F51B40972_13</vt:lpwstr>
  </property>
  <property fmtid="{D5CDD505-2E9C-101B-9397-08002B2CF9AE}" pid="4" name="KSOTemplateDocerSaveRecord">
    <vt:lpwstr>eyJoZGlkIjoiZmQyYWYyMTM5YmZhYzYzZjk2MGE3ZTNkNWViYmVmOTYiLCJ1c2VySWQiOiIxMDQzOTQ4OTQ3In0=</vt:lpwstr>
  </property>
</Properties>
</file>